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</w:rPr>
      </w:pPr>
      <w:r>
        <w:rPr/>
        <mc:AlternateContent>
          <mc:Choice Requires="wps">
            <w:drawing>
              <wp:inline distT="0" distB="0" distL="0" distR="0">
                <wp:extent cx="570230" cy="673735"/>
                <wp:effectExtent l="0" t="0" r="0" b="0"/>
                <wp:docPr id="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569520" cy="6732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style="position:absolute;margin-left:0pt;margin-top:-53.05pt;width:44.8pt;height:52.95pt;mso-wrap-style:none;v-text-anchor:middle;mso-position-vertical:top" type="shapetype_75">
                <v:imagedata r:id="rId2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Normal"/>
        <w:jc w:val="center"/>
        <w:rPr>
          <w:b/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</w:r>
    </w:p>
    <w:p>
      <w:pPr>
        <w:pStyle w:val="Normal"/>
        <w:jc w:val="center"/>
        <w:rPr>
          <w:b/>
          <w:b/>
          <w:bCs/>
          <w:spacing w:val="20"/>
          <w:sz w:val="26"/>
          <w:szCs w:val="26"/>
        </w:rPr>
      </w:pPr>
      <w:r>
        <w:rPr>
          <w:b/>
          <w:bCs/>
          <w:spacing w:val="20"/>
          <w:sz w:val="26"/>
          <w:szCs w:val="26"/>
        </w:rPr>
        <w:t xml:space="preserve">НОВОАЛТАЙСКОЕ ГОРОДСКОЕ </w:t>
      </w:r>
    </w:p>
    <w:p>
      <w:pPr>
        <w:pStyle w:val="Normal"/>
        <w:jc w:val="center"/>
        <w:rPr>
          <w:b/>
          <w:b/>
          <w:bCs/>
          <w:spacing w:val="20"/>
          <w:sz w:val="26"/>
          <w:szCs w:val="26"/>
        </w:rPr>
      </w:pPr>
      <w:r>
        <w:rPr>
          <w:b/>
          <w:bCs/>
          <w:spacing w:val="20"/>
          <w:sz w:val="26"/>
          <w:szCs w:val="26"/>
        </w:rPr>
        <w:t>СОБРАНИЕ ДЕПУТАТОВ</w:t>
      </w:r>
    </w:p>
    <w:p>
      <w:pPr>
        <w:pStyle w:val="Normal"/>
        <w:jc w:val="center"/>
        <w:rPr>
          <w:b/>
          <w:b/>
          <w:bCs/>
          <w:spacing w:val="20"/>
          <w:sz w:val="26"/>
          <w:szCs w:val="26"/>
        </w:rPr>
      </w:pPr>
      <w:r>
        <w:rPr>
          <w:b/>
          <w:bCs/>
          <w:spacing w:val="20"/>
          <w:sz w:val="26"/>
          <w:szCs w:val="26"/>
        </w:rPr>
        <w:t>АЛТАЙСКОГО КРАЯ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pacing w:val="84"/>
          <w:sz w:val="36"/>
          <w:szCs w:val="36"/>
        </w:rPr>
      </w:pPr>
      <w:r>
        <w:rPr>
          <w:rFonts w:cs="Arial" w:ascii="Arial" w:hAnsi="Arial"/>
          <w:b/>
          <w:bCs/>
          <w:spacing w:val="84"/>
          <w:sz w:val="36"/>
          <w:szCs w:val="36"/>
        </w:rPr>
        <w:t>РЕШЕНИЕ</w:t>
      </w:r>
    </w:p>
    <w:p>
      <w:pPr>
        <w:pStyle w:val="Normal"/>
        <w:rPr>
          <w:rFonts w:ascii="Arial" w:hAnsi="Arial" w:cs="Arial"/>
          <w:b/>
          <w:b/>
          <w:bCs/>
          <w:spacing w:val="84"/>
          <w:sz w:val="24"/>
          <w:szCs w:val="24"/>
        </w:rPr>
      </w:pPr>
      <w:r>
        <w:rPr>
          <w:rFonts w:cs="Arial" w:ascii="Arial" w:hAnsi="Arial"/>
          <w:b/>
          <w:bCs/>
          <w:spacing w:val="84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21.03.</w:t>
      </w:r>
      <w:r>
        <w:rPr>
          <w:rFonts w:cs="Arial" w:ascii="Arial" w:hAnsi="Arial"/>
          <w:sz w:val="22"/>
          <w:szCs w:val="22"/>
        </w:rPr>
        <w:t>2023</w:t>
        <w:tab/>
        <w:tab/>
        <w:tab/>
        <w:tab/>
        <w:tab/>
        <w:tab/>
        <w:tab/>
        <w:tab/>
        <w:tab/>
        <w:tab/>
        <w:t xml:space="preserve">                   № </w:t>
      </w:r>
      <w:r>
        <w:rPr>
          <w:rFonts w:cs="Arial" w:ascii="Arial" w:hAnsi="Arial"/>
          <w:sz w:val="22"/>
          <w:szCs w:val="22"/>
        </w:rPr>
        <w:t>18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>г. Новоалтайск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/>
        <mc:AlternateContent>
          <mc:Choice Requires="wpg">
            <w:drawing>
              <wp:inline distT="0" distB="0" distL="114300" distR="114300">
                <wp:extent cx="114935" cy="114935"/>
                <wp:effectExtent l="0" t="0" r="0" b="0"/>
                <wp:docPr id="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480" cy="1144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14480" cy="114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editas="canvas" style="margin-left:0pt;margin-top:-9.05pt;width:9pt;height:9pt" coordorigin="0,-181" coordsize="180,180">
                <v:shape id="shape_0" stroked="f" style="position:absolute;left:0;top:-181;width:179;height:179;mso-wrap-style:none;v-text-anchor:middle;mso-position-vertical:top" type="shapetype_75">
                  <v:fill o:detectmouseclick="t" on="false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p>
      <w:pPr>
        <w:pStyle w:val="Normal"/>
        <w:jc w:val="center"/>
        <w:rPr>
          <w:rFonts w:ascii="Arial" w:hAnsi="Arial" w:cs="Arial"/>
          <w:b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mc:AlternateContent>
          <mc:Choice Requires="wps">
            <w:drawing>
              <wp:anchor behindDoc="0" distT="0" distB="0" distL="114300" distR="114300" simplePos="0" locked="0" layoutInCell="0" allowOverlap="1" relativeHeight="2">
                <wp:simplePos x="0" y="0"/>
                <wp:positionH relativeFrom="column">
                  <wp:posOffset>-42545</wp:posOffset>
                </wp:positionH>
                <wp:positionV relativeFrom="paragraph">
                  <wp:posOffset>635</wp:posOffset>
                </wp:positionV>
                <wp:extent cx="3243580" cy="140525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2880" cy="1404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6"/>
                              <w:spacing w:before="0" w:after="0"/>
                              <w:contextualSpacing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Об отчете Главы города Новоалтайска </w:t>
                              <w:br/>
                              <w:t xml:space="preserve">о результатах своей деятельности, деятельности Администрации города </w:t>
                              <w:br/>
                              <w:t>и о решении вопросов, поставленных Новоалтайским городским Собранием депутатов, за 2022 год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fillcolor="white" stroked="f" style="position:absolute;margin-left:-3.35pt;margin-top:0pt;width:255.3pt;height:110.55pt;mso-wrap-style:none;v-text-anchor:top" type="shapetype_202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6"/>
                        <w:spacing w:before="0" w:after="0"/>
                        <w:contextualSpacing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Об отчете Главы города Новоалтайска </w:t>
                        <w:br/>
                        <w:t xml:space="preserve">о результатах своей деятельности, деятельности Администрации города </w:t>
                        <w:br/>
                        <w:t>и о решении вопросов, поставленных Новоалтайским городским Собранием депутатов, за 2022 год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jc w:val="center"/>
        <w:rPr>
          <w:rFonts w:ascii="Arial" w:hAnsi="Arial" w:cs="Arial"/>
          <w:b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b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rPr>
          <w:bCs/>
          <w:sz w:val="16"/>
          <w:szCs w:val="16"/>
        </w:rPr>
      </w:pPr>
      <w:r>
        <w:rPr>
          <w:bCs/>
          <w:sz w:val="16"/>
          <w:szCs w:val="16"/>
        </w:rPr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п. 12 ст. 41 Устава городского округа город Новоалтайск Алтайского края, заслушав ежегодный отчет</w:t>
      </w:r>
      <w:r>
        <w:rPr>
          <w:sz w:val="28"/>
          <w:szCs w:val="28"/>
        </w:rPr>
        <w:t xml:space="preserve"> Главы города Новоалтайска </w:t>
        <w:br/>
        <w:t xml:space="preserve">о результатах своей деятельности, деятельности Администрации города </w:t>
        <w:br/>
        <w:t>и о решении вопросов, поставленных</w:t>
      </w:r>
      <w:r>
        <w:rPr>
          <w:bCs/>
          <w:sz w:val="28"/>
          <w:szCs w:val="28"/>
        </w:rPr>
        <w:t xml:space="preserve"> городским Собранием депутатов, за 2022 год, Новоалтайское городское Собрание депутатов отмечает, что Администрацией города приняты меры по реализации поставленных задач социально-экономического развития, сохранению социальной стабильности и повышению эффективности использования бюджетных средств.</w:t>
      </w:r>
    </w:p>
    <w:p>
      <w:pPr>
        <w:pStyle w:val="Normal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Общий объем доходов бюджета городского округа за 2022 год составил </w:t>
        <w:br/>
        <w:t>1 992,2 млн. руб.</w:t>
      </w:r>
    </w:p>
    <w:p>
      <w:pPr>
        <w:pStyle w:val="Normal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Доля налоговых и неналоговых доходов в общем объеме доходов </w:t>
        <w:br/>
        <w:t>в 2022 году составила 31,3%, что превысило уровень 2021 года на 5,3%.</w:t>
      </w:r>
    </w:p>
    <w:p>
      <w:pPr>
        <w:pStyle w:val="Normal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Основной объем поступлений налоговых и неналоговых доходов сформирован за счет налога на доходы физических лиц. </w:t>
      </w:r>
    </w:p>
    <w:p>
      <w:pPr>
        <w:pStyle w:val="Normal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Следующими по значимости доходными источниками являются налоги </w:t>
        <w:br/>
        <w:t xml:space="preserve">на совокупный доход, уплачиваемые субъектами среднего и малого предпринимательства, налоги на имущество и доходы от использования муниципального имущества. </w:t>
      </w:r>
    </w:p>
    <w:p>
      <w:pPr>
        <w:pStyle w:val="Normal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Объем межбюджетных трансфертов из краевого бюджета составил </w:t>
        <w:br/>
        <w:t xml:space="preserve">1 423,5 млн. рублей. </w:t>
      </w:r>
    </w:p>
    <w:p>
      <w:pPr>
        <w:pStyle w:val="Normal"/>
        <w:shd w:val="clear" w:color="auto" w:fill="FFFFFF"/>
        <w:tabs>
          <w:tab w:val="clear" w:pos="720"/>
          <w:tab w:val="left" w:pos="0" w:leader="underscore"/>
        </w:tabs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Расходы бюджета городского округа за 2022 год составили </w:t>
        <w:br/>
        <w:t>2 054,8 млн. рублей и увеличились по сравнению с 2021 годом на 6%.</w:t>
      </w:r>
    </w:p>
    <w:p>
      <w:pPr>
        <w:pStyle w:val="Normal"/>
        <w:shd w:val="clear" w:color="auto" w:fill="FFFFFF"/>
        <w:tabs>
          <w:tab w:val="clear" w:pos="720"/>
          <w:tab w:val="left" w:pos="0" w:leader="underscore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Финансовые вложения были направлены на решение задач социально-экономического развития города, повышения качества жизни населения, последовательного роста оплаты труда работников бюджетной сферы.</w:t>
      </w:r>
    </w:p>
    <w:p>
      <w:pPr>
        <w:pStyle w:val="Normal"/>
        <w:ind w:firstLine="709"/>
        <w:jc w:val="both"/>
        <w:rPr>
          <w:bCs/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Как и в предыдущие годы, расходная часть бюджета в отчетном году имеет ярко выраженную социальную направленность. На финансирование отраслей социальной сферы направлено более </w:t>
      </w:r>
      <w:r>
        <w:rPr>
          <w:rFonts w:eastAsia="Calibri"/>
          <w:sz w:val="28"/>
          <w:szCs w:val="28"/>
          <w:lang w:eastAsia="en-US"/>
        </w:rPr>
        <w:t>68% от общего объема расходов.</w:t>
      </w:r>
      <w:r>
        <w:rPr>
          <w:bCs/>
          <w:sz w:val="28"/>
          <w:szCs w:val="28"/>
        </w:rPr>
        <w:t xml:space="preserve"> По сравнению с 2021 годом расходы увеличились на 93,7 млн. руб.</w:t>
      </w:r>
    </w:p>
    <w:p>
      <w:pPr>
        <w:pStyle w:val="Normal"/>
        <w:shd w:val="clear" w:color="auto" w:fill="FFFFFF"/>
        <w:tabs>
          <w:tab w:val="clear" w:pos="720"/>
          <w:tab w:val="left" w:pos="0" w:leader="underscore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отчетном году в рамках двадцати программ, которые являются инструментом повышения эффективности и результативности бюджетных расходов, и создают условия для повышения качества муниципального управления, финансировалось 69% расходов бюджета.</w:t>
      </w:r>
    </w:p>
    <w:p>
      <w:pPr>
        <w:pStyle w:val="Normal"/>
        <w:ind w:firstLine="709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целях наполнения доходной части бюджета и сокращения неэффективных расходов в 2022 году продолжена работа по реализации включенного в прогнозный план приватизации имущества. Продано </w:t>
        <w:br/>
        <w:t xml:space="preserve">2 объекта недвижимости и 3 транспортных средства на сумму 2,9 </w:t>
        <w:br/>
        <w:t>млн. рублей. Юридическим и физическим лицам продано 36 земельных участков общей площадью 14,4 га на сумму 20,6 млн. руб.</w:t>
      </w:r>
    </w:p>
    <w:p>
      <w:pPr>
        <w:pStyle w:val="Normal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Экономическая ситуация в городе Новоалтайске в 2022 характеризуется стабильной динамикой в основных секторах экономики. Несмотря на </w:t>
      </w:r>
      <w:r>
        <w:rPr>
          <w:rFonts w:eastAsia="Calibri"/>
          <w:bCs/>
          <w:spacing w:val="-2"/>
          <w:sz w:val="28"/>
          <w:szCs w:val="28"/>
          <w:lang w:eastAsia="en-US"/>
        </w:rPr>
        <w:t>негативное влияние, на развитие экономики города последствий санкционного давления,</w:t>
      </w:r>
      <w:r>
        <w:rPr>
          <w:rFonts w:eastAsia="Calibri"/>
          <w:sz w:val="28"/>
          <w:szCs w:val="28"/>
          <w:lang w:eastAsia="en-US"/>
        </w:rPr>
        <w:t xml:space="preserve"> удалось сохранить положительные показатели социально-экономического развития. </w:t>
      </w:r>
    </w:p>
    <w:p>
      <w:pPr>
        <w:pStyle w:val="Normal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 оценочным данным отгружено товаров собственного производства по кругу крупных и средних организаций на сумму 38,6 миллиардов рублей (123,7 процента к уровню 2021 года). Индекс промышленного производства </w:t>
        <w:br/>
        <w:t xml:space="preserve">по полному кругу организаций ожидается не менее 110,6 процентов. </w:t>
      </w:r>
    </w:p>
    <w:p>
      <w:pPr>
        <w:pStyle w:val="Normal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Доля градообразующего предприятия в общем объеме отгруженных промышленных товаров собственного производства составила 75,8 процентов. За 2022 год</w:t>
      </w:r>
      <w:r>
        <w:rPr>
          <w:rFonts w:eastAsia="Calibri"/>
          <w:sz w:val="28"/>
          <w:szCs w:val="28"/>
          <w:shd w:fill="FFFFFF" w:val="clear"/>
        </w:rPr>
        <w:t xml:space="preserve"> предприятие выпустило 7082 вагона, р</w:t>
      </w:r>
      <w:r>
        <w:rPr>
          <w:rFonts w:eastAsia="Calibri"/>
          <w:sz w:val="28"/>
          <w:szCs w:val="28"/>
        </w:rPr>
        <w:t xml:space="preserve">ост количества произведенных вагонов составляет 9,7 процентов (6454 вагонов в 2021 году). </w:t>
      </w:r>
    </w:p>
    <w:p>
      <w:pPr>
        <w:pStyle w:val="Normal"/>
        <w:widowControl w:val="false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Одним из важнейших факторов динамичного развития экономики города является повышение уровня инвестиционной активности. Объем инвестиций в основной капитал в 2022 году по кругу крупных и средних организаций оценивается на уровне 1,5 миллиарда рублей, что</w:t>
      </w:r>
      <w:r>
        <w:rPr>
          <w:rFonts w:eastAsia="Calibri"/>
          <w:color w:val="000000"/>
          <w:sz w:val="28"/>
          <w:szCs w:val="28"/>
        </w:rPr>
        <w:t xml:space="preserve"> в действующих ценах </w:t>
        <w:br/>
        <w:t>к 2021 году составляет 74,6 процентов. Снижение объема инвестиций обусловлено завершением реализации основных инвестиционных проектов на территории города</w:t>
      </w:r>
      <w:r>
        <w:rPr>
          <w:rFonts w:eastAsia="Calibri"/>
          <w:sz w:val="28"/>
          <w:szCs w:val="28"/>
        </w:rPr>
        <w:t>.</w:t>
      </w:r>
    </w:p>
    <w:p>
      <w:pPr>
        <w:pStyle w:val="Normal"/>
        <w:widowControl w:val="false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 состоянию на 1 января 2023 года в ТОСЭР «Новоалтайск» зарегистрировано 11 резидентов, из них 2 в 2022 году. Резидентами создано 464 новых рабочих места, привлечено 742,3 миллионов рублей инвестиций, </w:t>
        <w:br/>
        <w:t>в бюджет города Новоалтайска поступило более 4,1 миллионов рублей налоговых отчислений (НДФЛ).</w:t>
      </w:r>
    </w:p>
    <w:p>
      <w:pPr>
        <w:pStyle w:val="Normal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2022 году ситуация на рынке труда остается стабильной. Регистрируемая безработица снизилась с 1,0 процента до 0,7 процентов.  Создано  700 новых рабочих мест.</w:t>
      </w:r>
    </w:p>
    <w:p>
      <w:pPr>
        <w:pStyle w:val="Normal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По итогам жилищного строительства городскими застройщиками в 2022 году введено в эксплуатацию </w:t>
      </w:r>
      <w:r>
        <w:rPr>
          <w:rFonts w:eastAsia="Calibri"/>
          <w:color w:val="000000"/>
          <w:sz w:val="28"/>
          <w:szCs w:val="28"/>
        </w:rPr>
        <w:t>4 многоквартирных жилых дома, общей площадью квартир 25,2 тыс. кв. м, что выше уровня 2021 года в 4,9 раза.</w:t>
      </w:r>
      <w:r>
        <w:rPr>
          <w:bCs/>
          <w:sz w:val="28"/>
          <w:szCs w:val="28"/>
        </w:rPr>
        <w:t xml:space="preserve"> </w:t>
      </w:r>
    </w:p>
    <w:p>
      <w:pPr>
        <w:pStyle w:val="Normal"/>
        <w:ind w:firstLine="708"/>
        <w:jc w:val="both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рамках реализации национального проекта «Безопасные качественные дороги» в 2022 году отремонтировано 8 участков улично-дорожной сети города Новоалтайска общей протяженностью 5,2 км на сумму 108,3 млн. рублей. Это улицы – Сибирская, Тимирязева, 2-я Залинейная, тротуар по ул. Семафорная, Трактовая, Партизанская, Обская, Военстроя.</w:t>
      </w:r>
    </w:p>
    <w:p>
      <w:pPr>
        <w:pStyle w:val="Normal"/>
        <w:ind w:firstLine="708"/>
        <w:jc w:val="both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Выполнен капитальный ремонт и введен в эксплуатацию путепровод </w:t>
        <w:br/>
        <w:t>5 км на сумму 144,2 млн. рублей, при этом доля местного бюджета составила 1,4 млн. рублей.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</w:p>
    <w:p>
      <w:pPr>
        <w:pStyle w:val="Normal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В ходе реализации национального проекта «Жилье и городская среда» </w:t>
      </w:r>
      <w:r>
        <w:rPr>
          <w:rFonts w:eastAsia="Calibri"/>
          <w:sz w:val="28"/>
          <w:szCs w:val="28"/>
          <w:lang w:eastAsia="en-US"/>
        </w:rPr>
        <w:t>в прошедшем году выполнено благоустройство сквера в 10-м микрорайоне (завершающий этап работ в 2023 году) и сквера «Юбилейный» в Новогорском микрорайоне, осуществлен текущий ремонт четырех дворовых проездов многоквартирных домов.</w:t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рамках ведомственной целевой программы «Переселение граждан из аварийного жилищного фонда в городе Новоалтайске на 2020-2029 годы» </w:t>
        <w:br/>
        <w:t xml:space="preserve">в прошедшем году расселено 12 квартир многоквартирного дома № 75а </w:t>
        <w:br/>
        <w:t>по ул. Вокзальная. За счет средств бюджета городского округа переселены граждане из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1</w:t>
      </w:r>
      <w:r>
        <w:rPr>
          <w:rFonts w:eastAsia="Calibri"/>
          <w:sz w:val="28"/>
          <w:szCs w:val="28"/>
          <w:lang w:eastAsia="en-US"/>
        </w:rPr>
        <w:t xml:space="preserve">7 квартир, расположенных в аварийном жилом фонде города. </w:t>
      </w:r>
    </w:p>
    <w:p>
      <w:pPr>
        <w:pStyle w:val="Normal"/>
        <w:spacing w:before="0" w:after="0"/>
        <w:ind w:left="142" w:right="142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В 2022 году Администрацией г</w:t>
      </w:r>
      <w:r>
        <w:rPr>
          <w:rFonts w:eastAsia="Calibri"/>
          <w:sz w:val="28"/>
          <w:szCs w:val="28"/>
          <w:lang w:eastAsia="en-US"/>
        </w:rPr>
        <w:t xml:space="preserve">орода завершена работа по включению строительства водозабора в микрорайоне Геологи в краевую адресную инвестиционную программу на 2023 год. Стоимость работ составит </w:t>
        <w:br/>
        <w:t xml:space="preserve">58 млн. рублей. </w:t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eastAsia="ar-SA"/>
        </w:rPr>
      </w:pPr>
      <w:r>
        <w:rPr>
          <w:bCs/>
          <w:sz w:val="28"/>
          <w:szCs w:val="28"/>
        </w:rPr>
        <w:t>Введены в эксплуатацию 2 социально значимых объекта. Н</w:t>
      </w:r>
      <w:r>
        <w:rPr>
          <w:rFonts w:eastAsia="Calibri"/>
          <w:sz w:val="28"/>
          <w:szCs w:val="28"/>
          <w:lang w:eastAsia="ar-SA"/>
        </w:rPr>
        <w:t xml:space="preserve">овая школа на 550 мест в  «Демидов парке» в декабре уже приняла учеников, что позволило уменьшить  среднюю наполняемость классов в школах города с 29 человек до 27 человек. В настоящее время в новом здании обучается 600 человек. Здание </w:t>
      </w:r>
      <w:r>
        <w:rPr>
          <w:rFonts w:eastAsia="Calibri"/>
          <w:color w:val="000000"/>
          <w:sz w:val="28"/>
          <w:szCs w:val="28"/>
          <w:lang w:eastAsia="en-US"/>
        </w:rPr>
        <w:t>культурно-спортивного комплекса, построенного в рамках краевой адресной инвестиционной программы,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 xml:space="preserve">передано в оперативное управление городскому центру культуры «Современник». </w:t>
      </w:r>
    </w:p>
    <w:p>
      <w:pPr>
        <w:pStyle w:val="Normal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Администрацией города будет продолжена работа по реализации ключевых направлений бюджетной и социальной политики, содействию развитию экономики и промышленности,  повышению уровня и качества жизни горожан.  </w:t>
      </w:r>
    </w:p>
    <w:p>
      <w:pPr>
        <w:pStyle w:val="Normal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п. 12 ст. 27 Устава городского округа город Новоалтайск Алтайского края 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Новоалтайское городское Собрание депутатов   р е ш и л о:</w:t>
      </w:r>
    </w:p>
    <w:p>
      <w:pPr>
        <w:pStyle w:val="Normal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Принять отчет</w:t>
      </w:r>
      <w:r>
        <w:rPr>
          <w:sz w:val="28"/>
          <w:szCs w:val="28"/>
        </w:rPr>
        <w:t xml:space="preserve"> Главы города «О результатах своей деятельности, деятельности Администрации города и о решении вопросов, поставленных</w:t>
      </w:r>
      <w:r>
        <w:rPr>
          <w:bCs/>
          <w:sz w:val="28"/>
          <w:szCs w:val="28"/>
        </w:rPr>
        <w:t xml:space="preserve"> городским Собранием депутатов</w:t>
      </w:r>
      <w:r>
        <w:rPr>
          <w:sz w:val="28"/>
          <w:szCs w:val="28"/>
        </w:rPr>
        <w:t>» за 2022 год</w:t>
      </w:r>
      <w:r>
        <w:rPr>
          <w:bCs/>
          <w:sz w:val="28"/>
          <w:szCs w:val="28"/>
        </w:rPr>
        <w:t xml:space="preserve">. Деятельность Главы города по результатам отчета признать удовлетворительной. </w:t>
      </w:r>
    </w:p>
    <w:p>
      <w:pPr>
        <w:pStyle w:val="Normal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Рекомендовать Главе города обобщить высказанные депутатами городского Собрания замечания и предложения по отчету, разработать </w:t>
        <w:br/>
        <w:t>и принять мероприятия по их реализации в месячный срок.</w:t>
      </w:r>
    </w:p>
    <w:p>
      <w:pPr>
        <w:pStyle w:val="Normal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Считать первоочередными задачами на 2023 год: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- активизацию экономического роста,</w:t>
      </w:r>
      <w:r>
        <w:rPr>
          <w:sz w:val="28"/>
          <w:szCs w:val="28"/>
        </w:rPr>
        <w:t xml:space="preserve"> увеличение налогового потенциала, в том числе за счет привлечения инвестиций, реализации приоритетных инвестиционных проектов, активнее реализовывать возможности инвестиций в рамках территории опережающего социально-экономического развития;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повышение качества и эффективности управления муниципальными финансами,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- повышение эффективности использования муниципальной собстве</w:t>
      </w:r>
      <w:r>
        <w:rPr>
          <w:sz w:val="28"/>
          <w:szCs w:val="28"/>
        </w:rPr>
        <w:t>нности;</w:t>
      </w:r>
    </w:p>
    <w:p>
      <w:pPr>
        <w:pStyle w:val="Normal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 содействие развитию малого и среднего предпринимательства;</w:t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исполнение основных ориентиров в демографической политике, социальной сфере.</w:t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bCs/>
          <w:sz w:val="28"/>
          <w:szCs w:val="28"/>
        </w:rPr>
        <w:t>Настоящее решение опубликовать в средствах массовой информации.</w:t>
      </w:r>
    </w:p>
    <w:p>
      <w:pPr>
        <w:pStyle w:val="Normal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 Контроль за исполнением настоящего решения возложить на постоянную комиссию по социально-экономическому развитию города, бюджету, вопросам самоуправления и связи с предпринимателями.</w:t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before="0" w:after="0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Председатель Новоалтайского </w:t>
      </w:r>
    </w:p>
    <w:p>
      <w:pPr>
        <w:pStyle w:val="Normal"/>
        <w:spacing w:before="0" w:after="0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городского Собрания депутатов                                                        А.А. Камышов</w:t>
      </w:r>
    </w:p>
    <w:sectPr>
      <w:type w:val="nextPage"/>
      <w:pgSz w:w="11906" w:h="16838"/>
      <w:pgMar w:left="1701" w:right="567" w:header="0" w:top="1134" w:footer="0" w:bottom="1134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556a9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11" w:customStyle="1">
    <w:name w:val="Font Style11"/>
    <w:qFormat/>
    <w:rsid w:val="00c77416"/>
    <w:rPr>
      <w:rFonts w:ascii="Times New Roman" w:hAnsi="Times New Roman" w:cs="Times New Roman"/>
      <w:sz w:val="26"/>
      <w:szCs w:val="26"/>
    </w:rPr>
  </w:style>
  <w:style w:type="character" w:styleId="Style14">
    <w:name w:val="Интернет-ссылка"/>
    <w:rsid w:val="00ca266c"/>
    <w:rPr>
      <w:color w:val="0000FF"/>
      <w:u w:val="single"/>
    </w:rPr>
  </w:style>
  <w:style w:type="character" w:styleId="Strong">
    <w:name w:val="Strong"/>
    <w:qFormat/>
    <w:rsid w:val="00417089"/>
    <w:rPr>
      <w:b/>
      <w:bCs/>
    </w:rPr>
  </w:style>
  <w:style w:type="character" w:styleId="FontStyle12" w:customStyle="1">
    <w:name w:val="Font Style12"/>
    <w:qFormat/>
    <w:rsid w:val="00417089"/>
    <w:rPr>
      <w:rFonts w:ascii="Times New Roman" w:hAnsi="Times New Roman" w:cs="Times New Roman"/>
      <w:sz w:val="26"/>
      <w:szCs w:val="26"/>
    </w:rPr>
  </w:style>
  <w:style w:type="character" w:styleId="Pnnormal" w:customStyle="1">
    <w:name w:val="pn-normal"/>
    <w:basedOn w:val="DefaultParagraphFont"/>
    <w:qFormat/>
    <w:rsid w:val="00a93064"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rsid w:val="00385e0c"/>
    <w:pPr>
      <w:spacing w:before="0" w:after="12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BodyTextIndent2">
    <w:name w:val="Body Text Indent 2"/>
    <w:basedOn w:val="Normal"/>
    <w:qFormat/>
    <w:rsid w:val="00385e0c"/>
    <w:pPr>
      <w:widowControl w:val="false"/>
      <w:spacing w:lineRule="auto" w:line="360"/>
      <w:ind w:firstLine="720"/>
      <w:jc w:val="both"/>
    </w:pPr>
    <w:rPr>
      <w:sz w:val="28"/>
      <w:szCs w:val="28"/>
    </w:rPr>
  </w:style>
  <w:style w:type="paragraph" w:styleId="Style20">
    <w:name w:val="Body Text Indent"/>
    <w:basedOn w:val="Normal"/>
    <w:rsid w:val="00385e0c"/>
    <w:pPr>
      <w:spacing w:lineRule="auto" w:line="480" w:before="0" w:after="120"/>
    </w:pPr>
    <w:rPr/>
  </w:style>
  <w:style w:type="paragraph" w:styleId="BalloonText">
    <w:name w:val="Balloon Text"/>
    <w:basedOn w:val="Normal"/>
    <w:semiHidden/>
    <w:qFormat/>
    <w:rsid w:val="0023462e"/>
    <w:pPr/>
    <w:rPr>
      <w:rFonts w:ascii="Tahoma" w:hAnsi="Tahoma" w:cs="Tahoma"/>
      <w:sz w:val="16"/>
      <w:szCs w:val="16"/>
    </w:rPr>
  </w:style>
  <w:style w:type="paragraph" w:styleId="Style21" w:customStyle="1">
    <w:name w:val="Знак Знак Знак Знак"/>
    <w:basedOn w:val="Normal"/>
    <w:qFormat/>
    <w:rsid w:val="0032653d"/>
    <w:pPr/>
    <w:rPr>
      <w:rFonts w:ascii="Verdana" w:hAnsi="Verdana" w:cs="Verdana"/>
      <w:lang w:val="en-US" w:eastAsia="en-US"/>
    </w:rPr>
  </w:style>
  <w:style w:type="paragraph" w:styleId="Style22" w:customStyle="1">
    <w:name w:val="Знак Знак Знак Знак Знак Знак Знак Знак Знак Знак"/>
    <w:basedOn w:val="Normal"/>
    <w:qFormat/>
    <w:rsid w:val="00865ee8"/>
    <w:pPr/>
    <w:rPr>
      <w:rFonts w:ascii="Verdana" w:hAnsi="Verdana" w:cs="Verdana"/>
      <w:lang w:val="en-US" w:eastAsia="en-US"/>
    </w:rPr>
  </w:style>
  <w:style w:type="paragraph" w:styleId="NormalWeb">
    <w:name w:val="Normal (Web)"/>
    <w:basedOn w:val="Normal"/>
    <w:qFormat/>
    <w:rsid w:val="00417089"/>
    <w:pPr>
      <w:spacing w:beforeAutospacing="1" w:afterAutospacing="1"/>
    </w:pPr>
    <w:rPr>
      <w:sz w:val="24"/>
      <w:szCs w:val="24"/>
    </w:rPr>
  </w:style>
  <w:style w:type="paragraph" w:styleId="Style23" w:customStyle="1">
    <w:name w:val="Знак Знак Знак Знак Знак Знак Знак"/>
    <w:basedOn w:val="Normal"/>
    <w:qFormat/>
    <w:rsid w:val="002d31f5"/>
    <w:pPr/>
    <w:rPr>
      <w:rFonts w:ascii="Verdana" w:hAnsi="Verdana" w:cs="Verdana"/>
      <w:lang w:val="en-US" w:eastAsia="en-US"/>
    </w:rPr>
  </w:style>
  <w:style w:type="paragraph" w:styleId="ListParagraph">
    <w:name w:val="List Paragraph"/>
    <w:basedOn w:val="Normal"/>
    <w:qFormat/>
    <w:rsid w:val="00bd1a10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Style24" w:customStyle="1">
    <w:name w:val="Знак"/>
    <w:basedOn w:val="Normal"/>
    <w:autoRedefine/>
    <w:qFormat/>
    <w:rsid w:val="00294a62"/>
    <w:pPr>
      <w:spacing w:lineRule="exact" w:line="240" w:before="0" w:after="160"/>
    </w:pPr>
    <w:rPr>
      <w:sz w:val="28"/>
      <w:lang w:val="en-US" w:eastAsia="en-US"/>
    </w:rPr>
  </w:style>
  <w:style w:type="paragraph" w:styleId="BodyText2">
    <w:name w:val="Body Text 2"/>
    <w:basedOn w:val="Normal"/>
    <w:qFormat/>
    <w:rsid w:val="00a93064"/>
    <w:pPr>
      <w:spacing w:lineRule="auto" w:line="480" w:before="0" w:after="120"/>
    </w:pPr>
    <w:rPr>
      <w:b/>
      <w:caps/>
      <w:sz w:val="28"/>
      <w:szCs w:val="28"/>
    </w:rPr>
  </w:style>
  <w:style w:type="paragraph" w:styleId="Style25" w:customStyle="1">
    <w:name w:val="текст_реф_ау"/>
    <w:basedOn w:val="Normal"/>
    <w:qFormat/>
    <w:rsid w:val="00a93064"/>
    <w:pPr>
      <w:spacing w:lineRule="auto" w:line="312"/>
      <w:ind w:firstLine="720"/>
      <w:jc w:val="both"/>
    </w:pPr>
    <w:rPr>
      <w:spacing w:val="-2"/>
      <w:sz w:val="28"/>
    </w:rPr>
  </w:style>
  <w:style w:type="paragraph" w:styleId="Style2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22A98-B2E7-48A9-AB0B-606FAD6AD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Application>LibreOffice/7.1.2.2$Windows_X86_64 LibreOffice_project/8a45595d069ef5570103caea1b71cc9d82b2aae4</Application>
  <AppVersion>15.0000</AppVersion>
  <Pages>4</Pages>
  <Words>1042</Words>
  <Characters>7062</Characters>
  <CharactersWithSpaces>8171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2022-02-24T11:18:00Z</dcterms:created>
  <dc:creator>USER</dc:creator>
  <dc:description/>
  <dc:language>ru-RU</dc:language>
  <cp:lastModifiedBy/>
  <cp:lastPrinted>2023-03-21T08:16:00Z</cp:lastPrinted>
  <dcterms:modified xsi:type="dcterms:W3CDTF">2023-03-22T09:31:04Z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