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0" w:leader="none"/>
        </w:tabs>
        <w:ind w:left="0" w:right="0" w:firstLine="709"/>
        <w:jc w:val="right"/>
        <w:rPr/>
      </w:pPr>
      <w:r>
        <w:rPr>
          <w:sz w:val="28"/>
          <w:szCs w:val="28"/>
        </w:rPr>
        <w:t xml:space="preserve">Приложение </w:t>
      </w:r>
    </w:p>
    <w:p>
      <w:pPr>
        <w:pStyle w:val="Normal"/>
        <w:tabs>
          <w:tab w:val="clear" w:pos="709"/>
          <w:tab w:val="left" w:pos="0" w:leader="none"/>
        </w:tabs>
        <w:ind w:left="0" w:right="0" w:firstLine="709"/>
        <w:jc w:val="right"/>
        <w:rPr/>
      </w:pPr>
      <w:r>
        <w:rPr>
          <w:sz w:val="28"/>
          <w:szCs w:val="28"/>
        </w:rPr>
        <w:t>к решению Новоалтайского городского Собрания депутатов</w:t>
      </w:r>
    </w:p>
    <w:p>
      <w:pPr>
        <w:pStyle w:val="Normal"/>
        <w:tabs>
          <w:tab w:val="clear" w:pos="709"/>
          <w:tab w:val="left" w:pos="0" w:leader="none"/>
        </w:tabs>
        <w:ind w:left="0" w:right="0" w:firstLine="709"/>
        <w:jc w:val="right"/>
        <w:rPr/>
      </w:pPr>
      <w:r>
        <w:rPr>
          <w:sz w:val="28"/>
          <w:szCs w:val="28"/>
        </w:rPr>
        <w:t xml:space="preserve">от </w:t>
      </w:r>
      <w:r>
        <w:rPr>
          <w:rFonts w:eastAsia="Times New Roman" w:cs="Times New Roman"/>
          <w:sz w:val="28"/>
          <w:szCs w:val="28"/>
        </w:rPr>
        <w:t>17.10.</w:t>
      </w:r>
      <w:r>
        <w:rPr>
          <w:sz w:val="28"/>
          <w:szCs w:val="28"/>
        </w:rPr>
        <w:t xml:space="preserve">2023 № </w:t>
      </w:r>
      <w:r>
        <w:rPr>
          <w:rFonts w:eastAsia="Times New Roman" w:cs="Times New Roman"/>
          <w:sz w:val="28"/>
          <w:szCs w:val="28"/>
          <w:lang w:eastAsia="en-US"/>
        </w:rPr>
        <w:t>31</w:t>
      </w:r>
      <w:r>
        <w:br w:type="page"/>
      </w:r>
      <w:r>
        <mc:AlternateContent>
          <mc:Choice Requires="wps">
            <w:drawing>
              <wp:anchor behindDoc="0" distT="0" distB="0" distL="114300" distR="114300" simplePos="0" locked="0" layoutInCell="0" allowOverlap="1" relativeHeight="2">
                <wp:simplePos x="0" y="0"/>
                <wp:positionH relativeFrom="column">
                  <wp:posOffset>-899160</wp:posOffset>
                </wp:positionH>
                <wp:positionV relativeFrom="page">
                  <wp:posOffset>3935095</wp:posOffset>
                </wp:positionV>
                <wp:extent cx="7163435" cy="3058160"/>
                <wp:effectExtent l="0" t="0" r="0" b="0"/>
                <wp:wrapNone/>
                <wp:docPr id="1" name="Врезка3"/>
                <a:graphic xmlns:a="http://schemas.openxmlformats.org/drawingml/2006/main">
                  <a:graphicData uri="http://schemas.microsoft.com/office/word/2010/wordprocessingShape">
                    <wps:wsp>
                      <wps:cNvSpPr txBox="1"/>
                      <wps:spPr>
                        <a:xfrm>
                          <a:off x="0" y="0"/>
                          <a:ext cx="7163435" cy="3058160"/>
                        </a:xfrm>
                        <a:prstGeom prst="rect"/>
                        <a:solidFill>
                          <a:srgbClr val="FFFFFF">
                            <a:alpha val="0"/>
                          </a:srgbClr>
                        </a:solidFill>
                      </wps:spPr>
                      <wps:txbx>
                        <w:txbxContent>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внесение изменений</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в генеральный план</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городского округа город новоалтайск</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алтайского края</w:t>
                            </w:r>
                          </w:p>
                          <w:p>
                            <w:pPr>
                              <w:pStyle w:val="Style59"/>
                              <w:spacing w:before="0" w:after="160"/>
                              <w:rPr/>
                            </w:pPr>
                            <w:r>
                              <w:rPr/>
                            </w:r>
                          </w:p>
                        </w:txbxContent>
                      </wps:txbx>
                      <wps:bodyPr anchor="t" lIns="91440" tIns="45720" rIns="91440" bIns="45720">
                        <a:noAutofit/>
                      </wps:bodyPr>
                    </wps:wsp>
                  </a:graphicData>
                </a:graphic>
              </wp:anchor>
            </w:drawing>
          </mc:Choice>
          <mc:Fallback>
            <w:pict>
              <v:rect stroked="f" strokeweight="0pt" style="position:absolute;rotation:0;width:564.05pt;height:240.8pt;mso-wrap-distance-left:9pt;mso-wrap-distance-right:9pt;mso-wrap-distance-top:0pt;mso-wrap-distance-bottom:0pt;margin-top:309.85pt;mso-position-vertical-relative:page;margin-left:-70.8pt;mso-position-horizontal-relative:text">
                <v:textbox>
                  <w:txbxContent>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внесение изменений</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в генеральный план</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городского округа город новоалтайск</w:t>
                      </w:r>
                    </w:p>
                    <w:p>
                      <w:pPr>
                        <w:pStyle w:val="Style59"/>
                        <w:spacing w:lineRule="auto" w:line="240"/>
                        <w:jc w:val="center"/>
                        <w:rPr>
                          <w:rFonts w:ascii="Times New Roman" w:hAnsi="Times New Roman" w:eastAsia="Batang"/>
                          <w:b/>
                          <w:b/>
                          <w:bCs/>
                          <w:caps/>
                          <w:color w:val="000000"/>
                          <w:sz w:val="28"/>
                          <w:szCs w:val="28"/>
                        </w:rPr>
                      </w:pPr>
                      <w:r>
                        <w:rPr>
                          <w:rFonts w:eastAsia="Batang" w:ascii="Times New Roman" w:hAnsi="Times New Roman"/>
                          <w:b/>
                          <w:bCs/>
                          <w:caps/>
                          <w:color w:val="000000"/>
                          <w:sz w:val="28"/>
                          <w:szCs w:val="28"/>
                        </w:rPr>
                        <w:t>алтайского края</w:t>
                      </w:r>
                    </w:p>
                    <w:p>
                      <w:pPr>
                        <w:pStyle w:val="Style59"/>
                        <w:spacing w:before="0" w:after="160"/>
                        <w:rPr/>
                      </w:pPr>
                      <w:r>
                        <w:rPr/>
                      </w:r>
                    </w:p>
                  </w:txbxContent>
                </v:textbox>
                <w10:wrap type="none"/>
              </v:rect>
            </w:pict>
          </mc:Fallback>
        </mc:AlternateContent>
      </w:r>
      <w:r>
        <mc:AlternateContent>
          <mc:Choice Requires="wps">
            <w:drawing>
              <wp:anchor behindDoc="0" distT="0" distB="0" distL="114300" distR="114300" simplePos="0" locked="0" layoutInCell="0" allowOverlap="1" relativeHeight="3">
                <wp:simplePos x="0" y="0"/>
                <wp:positionH relativeFrom="page">
                  <wp:align>center</wp:align>
                </wp:positionH>
                <wp:positionV relativeFrom="page">
                  <wp:posOffset>5652135</wp:posOffset>
                </wp:positionV>
                <wp:extent cx="7163435" cy="658495"/>
                <wp:effectExtent l="0" t="0" r="0" b="0"/>
                <wp:wrapNone/>
                <wp:docPr id="2" name="Врезка2"/>
                <a:graphic xmlns:a="http://schemas.openxmlformats.org/drawingml/2006/main">
                  <a:graphicData uri="http://schemas.microsoft.com/office/word/2010/wordprocessingShape">
                    <wps:wsp>
                      <wps:cNvSpPr txBox="1"/>
                      <wps:spPr>
                        <a:xfrm>
                          <a:off x="0" y="0"/>
                          <a:ext cx="7163435" cy="658495"/>
                        </a:xfrm>
                        <a:prstGeom prst="rect"/>
                        <a:solidFill>
                          <a:srgbClr val="FFFFFF">
                            <a:alpha val="0"/>
                          </a:srgbClr>
                        </a:solidFill>
                      </wps:spPr>
                      <wps:txbx>
                        <w:txbxContent>
                          <w:p>
                            <w:pPr>
                              <w:pStyle w:val="Style59"/>
                              <w:spacing w:lineRule="auto" w:line="360"/>
                              <w:jc w:val="center"/>
                              <w:rPr>
                                <w:rFonts w:ascii="Times New Roman" w:hAnsi="Times New Roman" w:eastAsia="Batang"/>
                                <w:caps/>
                                <w:color w:val="000000"/>
                                <w:sz w:val="28"/>
                                <w:szCs w:val="28"/>
                              </w:rPr>
                            </w:pPr>
                            <w:r>
                              <w:rPr>
                                <w:rFonts w:eastAsia="Batang" w:ascii="Times New Roman" w:hAnsi="Times New Roman"/>
                                <w:caps/>
                                <w:color w:val="000000"/>
                                <w:sz w:val="28"/>
                                <w:szCs w:val="28"/>
                              </w:rPr>
                              <w:t>(МАТЕРИАЛЫ ПО ОБОСНОВАНИЮ ПРОЕКТНЫХ РЕШЕНИЙ)</w:t>
                            </w:r>
                          </w:p>
                          <w:p>
                            <w:pPr>
                              <w:pStyle w:val="Style59"/>
                              <w:spacing w:before="0" w:after="160"/>
                              <w:rPr/>
                            </w:pPr>
                            <w:r>
                              <w:rPr/>
                            </w:r>
                          </w:p>
                        </w:txbxContent>
                      </wps:txbx>
                      <wps:bodyPr anchor="t" lIns="91440" tIns="45720" rIns="91440" bIns="45720">
                        <a:noAutofit/>
                      </wps:bodyPr>
                    </wps:wsp>
                  </a:graphicData>
                </a:graphic>
              </wp:anchor>
            </w:drawing>
          </mc:Choice>
          <mc:Fallback>
            <w:pict>
              <v:rect stroked="f" strokeweight="0pt" style="position:absolute;rotation:0;width:564.05pt;height:51.85pt;mso-wrap-distance-left:9pt;mso-wrap-distance-right:9pt;mso-wrap-distance-top:0pt;mso-wrap-distance-bottom:0pt;margin-top:445.05pt;mso-position-vertical-relative:page;margin-left:15.65pt;mso-position-horizontal:center;mso-position-horizontal-relative:page">
                <v:textbox>
                  <w:txbxContent>
                    <w:p>
                      <w:pPr>
                        <w:pStyle w:val="Style59"/>
                        <w:spacing w:lineRule="auto" w:line="360"/>
                        <w:jc w:val="center"/>
                        <w:rPr>
                          <w:rFonts w:ascii="Times New Roman" w:hAnsi="Times New Roman" w:eastAsia="Batang"/>
                          <w:caps/>
                          <w:color w:val="000000"/>
                          <w:sz w:val="28"/>
                          <w:szCs w:val="28"/>
                        </w:rPr>
                      </w:pPr>
                      <w:r>
                        <w:rPr>
                          <w:rFonts w:eastAsia="Batang" w:ascii="Times New Roman" w:hAnsi="Times New Roman"/>
                          <w:caps/>
                          <w:color w:val="000000"/>
                          <w:sz w:val="28"/>
                          <w:szCs w:val="28"/>
                        </w:rPr>
                        <w:t>(МАТЕРИАЛЫ ПО ОБОСНОВАНИЮ ПРОЕКТНЫХ РЕШЕНИЙ)</w:t>
                      </w:r>
                    </w:p>
                    <w:p>
                      <w:pPr>
                        <w:pStyle w:val="Style59"/>
                        <w:spacing w:before="0" w:after="160"/>
                        <w:rPr/>
                      </w:pPr>
                      <w:r>
                        <w:rPr/>
                      </w:r>
                    </w:p>
                  </w:txbxContent>
                </v:textbox>
                <w10:wrap type="none"/>
              </v:rect>
            </w:pict>
          </mc:Fallback>
        </mc:AlternateContent>
      </w:r>
      <w:r>
        <mc:AlternateContent>
          <mc:Choice Requires="wps">
            <w:drawing>
              <wp:anchor behindDoc="0" distT="0" distB="0" distL="114300" distR="114300" simplePos="0" locked="0" layoutInCell="0" allowOverlap="1" relativeHeight="4">
                <wp:simplePos x="0" y="0"/>
                <wp:positionH relativeFrom="column">
                  <wp:posOffset>-914400</wp:posOffset>
                </wp:positionH>
                <wp:positionV relativeFrom="page">
                  <wp:posOffset>9752965</wp:posOffset>
                </wp:positionV>
                <wp:extent cx="7163435" cy="457200"/>
                <wp:effectExtent l="0" t="0" r="0" b="0"/>
                <wp:wrapNone/>
                <wp:docPr id="3" name="Врезка1"/>
                <a:graphic xmlns:a="http://schemas.openxmlformats.org/drawingml/2006/main">
                  <a:graphicData uri="http://schemas.microsoft.com/office/word/2010/wordprocessingShape">
                    <wps:wsp>
                      <wps:cNvSpPr txBox="1"/>
                      <wps:spPr>
                        <a:xfrm>
                          <a:off x="0" y="0"/>
                          <a:ext cx="7163435" cy="457200"/>
                        </a:xfrm>
                        <a:prstGeom prst="rect"/>
                        <a:solidFill>
                          <a:srgbClr val="FFFFFF">
                            <a:alpha val="0"/>
                          </a:srgbClr>
                        </a:solidFill>
                      </wps:spPr>
                      <wps:txbx>
                        <w:txbxContent>
                          <w:p>
                            <w:pPr>
                              <w:pStyle w:val="Style59"/>
                              <w:spacing w:lineRule="auto" w:line="360"/>
                              <w:jc w:val="center"/>
                              <w:rPr>
                                <w:rFonts w:ascii="Times New Roman" w:hAnsi="Times New Roman" w:eastAsia="Batang"/>
                                <w:caps/>
                                <w:color w:val="000000"/>
                                <w:sz w:val="28"/>
                                <w:szCs w:val="28"/>
                              </w:rPr>
                            </w:pPr>
                            <w:r>
                              <w:rPr>
                                <w:rFonts w:eastAsia="Batang" w:ascii="Times New Roman" w:hAnsi="Times New Roman"/>
                                <w:caps/>
                                <w:color w:val="000000"/>
                                <w:sz w:val="28"/>
                                <w:szCs w:val="28"/>
                              </w:rPr>
                              <w:t>Барнаул 2023</w:t>
                            </w:r>
                          </w:p>
                          <w:p>
                            <w:pPr>
                              <w:pStyle w:val="Style59"/>
                              <w:spacing w:before="0" w:after="160"/>
                              <w:rPr/>
                            </w:pPr>
                            <w:r>
                              <w:rPr/>
                            </w:r>
                          </w:p>
                        </w:txbxContent>
                      </wps:txbx>
                      <wps:bodyPr anchor="t" lIns="91440" tIns="45720" rIns="91440" bIns="45720">
                        <a:noAutofit/>
                      </wps:bodyPr>
                    </wps:wsp>
                  </a:graphicData>
                </a:graphic>
              </wp:anchor>
            </w:drawing>
          </mc:Choice>
          <mc:Fallback>
            <w:pict>
              <v:rect stroked="f" strokeweight="0pt" style="position:absolute;rotation:0;width:564.05pt;height:36pt;mso-wrap-distance-left:9pt;mso-wrap-distance-right:9pt;mso-wrap-distance-top:0pt;mso-wrap-distance-bottom:0pt;margin-top:767.95pt;mso-position-vertical-relative:page;margin-left:-72pt;mso-position-horizontal-relative:text">
                <v:textbox>
                  <w:txbxContent>
                    <w:p>
                      <w:pPr>
                        <w:pStyle w:val="Style59"/>
                        <w:spacing w:lineRule="auto" w:line="360"/>
                        <w:jc w:val="center"/>
                        <w:rPr>
                          <w:rFonts w:ascii="Times New Roman" w:hAnsi="Times New Roman" w:eastAsia="Batang"/>
                          <w:caps/>
                          <w:color w:val="000000"/>
                          <w:sz w:val="28"/>
                          <w:szCs w:val="28"/>
                        </w:rPr>
                      </w:pPr>
                      <w:r>
                        <w:rPr>
                          <w:rFonts w:eastAsia="Batang" w:ascii="Times New Roman" w:hAnsi="Times New Roman"/>
                          <w:caps/>
                          <w:color w:val="000000"/>
                          <w:sz w:val="28"/>
                          <w:szCs w:val="28"/>
                        </w:rPr>
                        <w:t>Барнаул 2023</w:t>
                      </w:r>
                    </w:p>
                    <w:p>
                      <w:pPr>
                        <w:pStyle w:val="Style59"/>
                        <w:spacing w:before="0" w:after="160"/>
                        <w:rPr/>
                      </w:pPr>
                      <w:r>
                        <w:rPr/>
                      </w:r>
                    </w:p>
                  </w:txbxContent>
                </v:textbox>
                <w10:wrap type="none"/>
              </v:rect>
            </w:pict>
          </mc:Fallback>
        </mc:AlternateContent>
      </w:r>
    </w:p>
    <w:p>
      <w:pPr>
        <w:sectPr>
          <w:footerReference w:type="default" r:id="rId2"/>
          <w:footerReference w:type="first" r:id="rId3"/>
          <w:type w:val="nextPage"/>
          <w:pgSz w:w="11906" w:h="16838"/>
          <w:pgMar w:left="1701" w:right="850" w:header="0" w:top="1134" w:footer="708" w:bottom="1134" w:gutter="0"/>
          <w:pgNumType w:fmt="decimal"/>
          <w:formProt w:val="false"/>
          <w:titlePg/>
          <w:textDirection w:val="lrTb"/>
          <w:docGrid w:type="default" w:linePitch="360" w:charSpace="4096"/>
        </w:sectPr>
        <w:pStyle w:val="Normal"/>
        <w:rPr/>
      </w:pPr>
      <w:r>
        <w:rPr/>
      </w:r>
    </w:p>
    <w:p>
      <w:pPr>
        <w:pStyle w:val="Normal"/>
        <w:rPr/>
      </w:pPr>
      <w:r>
        <w:rPr>
          <w:rFonts w:ascii="Times New Roman" w:hAnsi="Times New Roman"/>
          <w:b/>
          <w:sz w:val="24"/>
          <w:szCs w:val="24"/>
        </w:rPr>
        <w:t>Перечень текстовых материалов Генерального плана:</w:t>
      </w:r>
    </w:p>
    <w:tbl>
      <w:tblPr>
        <w:tblpPr w:bottomFromText="0" w:horzAnchor="margin" w:leftFromText="180" w:rightFromText="180" w:tblpX="0" w:tblpXSpec="center" w:tblpY="92" w:topFromText="0" w:vertAnchor="text"/>
        <w:tblW w:w="9747" w:type="dxa"/>
        <w:jc w:val="center"/>
        <w:tblInd w:w="0" w:type="dxa"/>
        <w:tblLayout w:type="fixed"/>
        <w:tblCellMar>
          <w:top w:w="0" w:type="dxa"/>
          <w:left w:w="108" w:type="dxa"/>
          <w:bottom w:w="0" w:type="dxa"/>
          <w:right w:w="108" w:type="dxa"/>
        </w:tblCellMar>
        <w:tblLook w:val="01e0"/>
      </w:tblPr>
      <w:tblGrid>
        <w:gridCol w:w="1045"/>
        <w:gridCol w:w="8701"/>
      </w:tblGrid>
      <w:tr>
        <w:trPr>
          <w:trHeight w:val="557" w:hRule="atLeast"/>
        </w:trPr>
        <w:tc>
          <w:tcPr>
            <w:tcW w:w="1045"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21" w:hanging="0"/>
              <w:rPr>
                <w:b/>
                <w:b/>
              </w:rPr>
            </w:pPr>
            <w:r>
              <w:rPr>
                <w:b/>
              </w:rPr>
              <w:t>№</w:t>
            </w:r>
          </w:p>
          <w:p>
            <w:pPr>
              <w:pStyle w:val="S2"/>
              <w:widowControl w:val="false"/>
              <w:spacing w:lineRule="auto" w:line="240"/>
              <w:ind w:right="-21" w:hanging="0"/>
              <w:rPr>
                <w:b/>
                <w:b/>
              </w:rPr>
            </w:pPr>
            <w:r>
              <w:rPr>
                <w:b/>
              </w:rPr>
              <w:t xml:space="preserve"> </w:t>
            </w:r>
            <w:r>
              <w:rPr>
                <w:b/>
              </w:rPr>
              <w:t>п/п</w:t>
            </w:r>
          </w:p>
        </w:tc>
        <w:tc>
          <w:tcPr>
            <w:tcW w:w="8701"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175" w:hanging="0"/>
              <w:rPr>
                <w:b/>
                <w:b/>
              </w:rPr>
            </w:pPr>
            <w:r>
              <w:rPr>
                <w:b/>
              </w:rPr>
              <w:t>Наименование документации</w:t>
            </w:r>
          </w:p>
        </w:tc>
      </w:tr>
      <w:tr>
        <w:trPr>
          <w:trHeight w:val="247" w:hRule="atLeast"/>
        </w:trPr>
        <w:tc>
          <w:tcPr>
            <w:tcW w:w="97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21" w:hanging="0"/>
              <w:jc w:val="center"/>
              <w:rPr>
                <w:rFonts w:ascii="Times New Roman" w:hAnsi="Times New Roman"/>
                <w:b/>
                <w:b/>
                <w:sz w:val="24"/>
                <w:szCs w:val="24"/>
              </w:rPr>
            </w:pPr>
            <w:r>
              <w:rPr>
                <w:rFonts w:ascii="Times New Roman" w:hAnsi="Times New Roman"/>
                <w:b/>
                <w:sz w:val="24"/>
                <w:szCs w:val="24"/>
              </w:rPr>
              <w:t>Утверждаемая часть</w:t>
            </w:r>
          </w:p>
        </w:tc>
      </w:tr>
      <w:tr>
        <w:trPr>
          <w:trHeight w:val="532" w:hRule="atLeast"/>
        </w:trPr>
        <w:tc>
          <w:tcPr>
            <w:tcW w:w="10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ind w:right="-21" w:hanging="0"/>
              <w:jc w:val="center"/>
              <w:rPr>
                <w:rFonts w:ascii="Times New Roman" w:hAnsi="Times New Roman"/>
                <w:sz w:val="24"/>
                <w:szCs w:val="24"/>
                <w:lang w:val="en-US"/>
              </w:rPr>
            </w:pPr>
            <w:r>
              <w:rPr>
                <w:rFonts w:ascii="Times New Roman" w:hAnsi="Times New Roman"/>
                <w:sz w:val="24"/>
                <w:szCs w:val="24"/>
                <w:lang w:val="en-US"/>
              </w:rPr>
              <w:t>1</w:t>
            </w:r>
          </w:p>
        </w:tc>
        <w:tc>
          <w:tcPr>
            <w:tcW w:w="8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b/>
                <w:b/>
                <w:sz w:val="24"/>
                <w:szCs w:val="24"/>
              </w:rPr>
            </w:pPr>
            <w:r>
              <w:rPr>
                <w:rFonts w:ascii="Times New Roman" w:hAnsi="Times New Roman"/>
                <w:sz w:val="24"/>
                <w:szCs w:val="24"/>
              </w:rPr>
              <w:t>Положение о территориальном планировании городского округа город Новоалтайск Алтайского края</w:t>
            </w:r>
          </w:p>
        </w:tc>
      </w:tr>
      <w:tr>
        <w:trPr>
          <w:trHeight w:val="266" w:hRule="atLeast"/>
        </w:trPr>
        <w:tc>
          <w:tcPr>
            <w:tcW w:w="97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21" w:hanging="0"/>
              <w:jc w:val="center"/>
              <w:rPr>
                <w:rFonts w:ascii="Times New Roman" w:hAnsi="Times New Roman"/>
                <w:b/>
                <w:b/>
                <w:sz w:val="24"/>
                <w:szCs w:val="24"/>
              </w:rPr>
            </w:pPr>
            <w:r>
              <w:rPr>
                <w:rFonts w:ascii="Times New Roman" w:hAnsi="Times New Roman"/>
                <w:b/>
                <w:sz w:val="24"/>
                <w:szCs w:val="24"/>
              </w:rPr>
              <w:t>Обосновывающая часть (прилагаемые материалы)</w:t>
            </w:r>
          </w:p>
        </w:tc>
      </w:tr>
      <w:tr>
        <w:trPr>
          <w:trHeight w:val="567" w:hRule="atLeast"/>
        </w:trPr>
        <w:tc>
          <w:tcPr>
            <w:tcW w:w="10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ind w:right="-21" w:hanging="0"/>
              <w:jc w:val="center"/>
              <w:rPr>
                <w:rFonts w:ascii="Times New Roman" w:hAnsi="Times New Roman"/>
                <w:sz w:val="24"/>
                <w:szCs w:val="24"/>
              </w:rPr>
            </w:pPr>
            <w:r>
              <w:rPr>
                <w:rFonts w:ascii="Times New Roman" w:hAnsi="Times New Roman"/>
                <w:sz w:val="24"/>
                <w:szCs w:val="24"/>
              </w:rPr>
              <w:t>2</w:t>
            </w:r>
          </w:p>
        </w:tc>
        <w:tc>
          <w:tcPr>
            <w:tcW w:w="8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14" w:hanging="0"/>
              <w:jc w:val="both"/>
              <w:rPr>
                <w:rFonts w:ascii="Times New Roman" w:hAnsi="Times New Roman"/>
                <w:sz w:val="24"/>
                <w:szCs w:val="24"/>
              </w:rPr>
            </w:pPr>
            <w:r>
              <w:rPr>
                <w:rFonts w:ascii="Times New Roman" w:hAnsi="Times New Roman"/>
                <w:sz w:val="24"/>
                <w:szCs w:val="24"/>
              </w:rPr>
              <w:t>Материалы по обоснованию Генерального плана городского округа город Новоалтайск Алтайского края</w:t>
            </w:r>
          </w:p>
        </w:tc>
      </w:tr>
    </w:tbl>
    <w:p>
      <w:pPr>
        <w:pStyle w:val="Normal"/>
        <w:ind w:right="-285" w:hanging="0"/>
        <w:jc w:val="center"/>
        <w:rPr>
          <w:rFonts w:ascii="Times New Roman" w:hAnsi="Times New Roman"/>
          <w:b/>
          <w:b/>
          <w:sz w:val="24"/>
          <w:szCs w:val="24"/>
        </w:rPr>
      </w:pPr>
      <w:r>
        <w:rPr>
          <w:rFonts w:ascii="Times New Roman" w:hAnsi="Times New Roman"/>
          <w:b/>
          <w:sz w:val="24"/>
          <w:szCs w:val="24"/>
        </w:rPr>
      </w:r>
    </w:p>
    <w:p>
      <w:pPr>
        <w:pStyle w:val="Normal"/>
        <w:ind w:right="-285" w:hanging="0"/>
        <w:jc w:val="center"/>
        <w:rPr>
          <w:rFonts w:ascii="Times New Roman" w:hAnsi="Times New Roman"/>
          <w:b/>
          <w:b/>
          <w:sz w:val="24"/>
          <w:szCs w:val="24"/>
        </w:rPr>
      </w:pPr>
      <w:r>
        <w:rPr>
          <w:rFonts w:ascii="Times New Roman" w:hAnsi="Times New Roman"/>
          <w:b/>
          <w:sz w:val="24"/>
          <w:szCs w:val="24"/>
        </w:rPr>
      </w:r>
    </w:p>
    <w:p>
      <w:pPr>
        <w:pStyle w:val="Normal"/>
        <w:ind w:right="-285" w:hanging="0"/>
        <w:jc w:val="center"/>
        <w:rPr>
          <w:rFonts w:ascii="Times New Roman" w:hAnsi="Times New Roman"/>
          <w:b/>
          <w:b/>
          <w:sz w:val="24"/>
          <w:szCs w:val="24"/>
        </w:rPr>
      </w:pPr>
      <w:r>
        <w:rPr>
          <w:rFonts w:ascii="Times New Roman" w:hAnsi="Times New Roman"/>
          <w:b/>
          <w:sz w:val="24"/>
          <w:szCs w:val="24"/>
        </w:rPr>
        <w:t>Перечень графических материалов Генерального плана:</w:t>
      </w:r>
    </w:p>
    <w:tbl>
      <w:tblPr>
        <w:tblpPr w:bottomFromText="0" w:horzAnchor="margin" w:leftFromText="180" w:rightFromText="180" w:tblpX="0" w:tblpXSpec="center" w:tblpY="92" w:topFromText="0" w:vertAnchor="text"/>
        <w:tblW w:w="9747" w:type="dxa"/>
        <w:jc w:val="center"/>
        <w:tblInd w:w="0" w:type="dxa"/>
        <w:tblLayout w:type="fixed"/>
        <w:tblCellMar>
          <w:top w:w="0" w:type="dxa"/>
          <w:left w:w="108" w:type="dxa"/>
          <w:bottom w:w="0" w:type="dxa"/>
          <w:right w:w="108" w:type="dxa"/>
        </w:tblCellMar>
        <w:tblLook w:val="01e0"/>
      </w:tblPr>
      <w:tblGrid>
        <w:gridCol w:w="1069"/>
        <w:gridCol w:w="7215"/>
        <w:gridCol w:w="1463"/>
      </w:tblGrid>
      <w:tr>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b/>
                <w:b/>
              </w:rPr>
            </w:pPr>
            <w:r>
              <w:rPr>
                <w:b/>
              </w:rPr>
              <w:t>Номер</w:t>
            </w:r>
          </w:p>
          <w:p>
            <w:pPr>
              <w:pStyle w:val="S2"/>
              <w:widowControl w:val="false"/>
              <w:spacing w:lineRule="auto" w:line="240"/>
              <w:rPr>
                <w:b/>
                <w:b/>
              </w:rPr>
            </w:pPr>
            <w:r>
              <w:rPr>
                <w:b/>
              </w:rPr>
              <w:t>листа</w:t>
            </w:r>
          </w:p>
        </w:tc>
        <w:tc>
          <w:tcPr>
            <w:tcW w:w="7215"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11" w:hanging="0"/>
              <w:rPr>
                <w:b/>
                <w:b/>
              </w:rPr>
            </w:pPr>
            <w:r>
              <w:rPr>
                <w:b/>
              </w:rPr>
              <w:t>Наименование документации</w:t>
            </w:r>
          </w:p>
        </w:tc>
        <w:tc>
          <w:tcPr>
            <w:tcW w:w="1463"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108" w:hanging="0"/>
              <w:rPr>
                <w:b/>
                <w:b/>
              </w:rPr>
            </w:pPr>
            <w:r>
              <w:rPr>
                <w:b/>
              </w:rPr>
              <w:t>Масштаб</w:t>
            </w:r>
          </w:p>
        </w:tc>
      </w:tr>
      <w:tr>
        <w:trPr/>
        <w:tc>
          <w:tcPr>
            <w:tcW w:w="9747" w:type="dxa"/>
            <w:gridSpan w:val="3"/>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285" w:hanging="0"/>
              <w:rPr/>
            </w:pPr>
            <w:r>
              <w:rPr>
                <w:b/>
              </w:rPr>
              <w:t>Утверждаемая часть</w:t>
            </w:r>
          </w:p>
        </w:tc>
      </w:tr>
      <w:tr>
        <w:trPr>
          <w:trHeight w:val="126" w:hRule="atLeast"/>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pPr>
            <w:r>
              <w:rPr/>
              <w:t>1</w:t>
            </w:r>
          </w:p>
        </w:tc>
        <w:tc>
          <w:tcPr>
            <w:tcW w:w="7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Карта границ населенного пункта (в том числе границ образуемых населенных пунктов), входящих в состав  городского округа</w:t>
            </w:r>
          </w:p>
        </w:tc>
        <w:tc>
          <w:tcPr>
            <w:tcW w:w="14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3" w:hanging="0"/>
              <w:jc w:val="center"/>
              <w:rPr>
                <w:rFonts w:ascii="Times New Roman" w:hAnsi="Times New Roman"/>
                <w:sz w:val="24"/>
                <w:szCs w:val="24"/>
              </w:rPr>
            </w:pPr>
            <w:r>
              <w:rPr>
                <w:rFonts w:ascii="Times New Roman" w:hAnsi="Times New Roman"/>
                <w:sz w:val="24"/>
                <w:szCs w:val="24"/>
              </w:rPr>
              <w:t>1:10 000</w:t>
            </w:r>
          </w:p>
        </w:tc>
      </w:tr>
      <w:tr>
        <w:trPr>
          <w:trHeight w:val="126" w:hRule="atLeast"/>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pPr>
            <w:r>
              <w:rPr/>
              <w:t>2</w:t>
            </w:r>
          </w:p>
        </w:tc>
        <w:tc>
          <w:tcPr>
            <w:tcW w:w="7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Карта планируемого размещения объектов местного значения</w:t>
            </w:r>
          </w:p>
        </w:tc>
        <w:tc>
          <w:tcPr>
            <w:tcW w:w="14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3" w:hanging="0"/>
              <w:jc w:val="center"/>
              <w:rPr>
                <w:rFonts w:ascii="Times New Roman" w:hAnsi="Times New Roman"/>
                <w:sz w:val="24"/>
                <w:szCs w:val="24"/>
              </w:rPr>
            </w:pPr>
            <w:r>
              <w:rPr>
                <w:rFonts w:ascii="Times New Roman" w:hAnsi="Times New Roman"/>
                <w:sz w:val="24"/>
                <w:szCs w:val="24"/>
              </w:rPr>
              <w:t xml:space="preserve">1:10 000 </w:t>
            </w:r>
          </w:p>
        </w:tc>
      </w:tr>
      <w:tr>
        <w:trPr>
          <w:trHeight w:val="302" w:hRule="atLeast"/>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pPr>
            <w:r>
              <w:rPr/>
              <w:t>3</w:t>
            </w:r>
          </w:p>
        </w:tc>
        <w:tc>
          <w:tcPr>
            <w:tcW w:w="7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Карта функциональных зон</w:t>
            </w:r>
          </w:p>
        </w:tc>
        <w:tc>
          <w:tcPr>
            <w:tcW w:w="14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3" w:hanging="0"/>
              <w:jc w:val="center"/>
              <w:rPr>
                <w:rFonts w:ascii="Times New Roman" w:hAnsi="Times New Roman"/>
                <w:sz w:val="24"/>
                <w:szCs w:val="24"/>
              </w:rPr>
            </w:pPr>
            <w:r>
              <w:rPr>
                <w:rFonts w:ascii="Times New Roman" w:hAnsi="Times New Roman"/>
                <w:sz w:val="24"/>
                <w:szCs w:val="24"/>
              </w:rPr>
              <w:t xml:space="preserve">1:10 000 </w:t>
            </w:r>
          </w:p>
        </w:tc>
      </w:tr>
      <w:tr>
        <w:trPr>
          <w:trHeight w:val="113" w:hRule="atLeast"/>
        </w:trPr>
        <w:tc>
          <w:tcPr>
            <w:tcW w:w="9747" w:type="dxa"/>
            <w:gridSpan w:val="3"/>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ind w:right="-285" w:hanging="0"/>
              <w:rPr>
                <w:b/>
                <w:b/>
              </w:rPr>
            </w:pPr>
            <w:r>
              <w:rPr>
                <w:b/>
              </w:rPr>
              <w:t>Обосновывающая часть</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pPr>
            <w:r>
              <w:rPr/>
              <w:t>4</w:t>
            </w:r>
          </w:p>
        </w:tc>
        <w:tc>
          <w:tcPr>
            <w:tcW w:w="7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Карта современного использования и комплексной оценки территории</w:t>
            </w:r>
          </w:p>
        </w:tc>
        <w:tc>
          <w:tcPr>
            <w:tcW w:w="14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3" w:hanging="0"/>
              <w:jc w:val="center"/>
              <w:rPr>
                <w:rFonts w:ascii="Times New Roman" w:hAnsi="Times New Roman"/>
                <w:sz w:val="24"/>
                <w:szCs w:val="24"/>
              </w:rPr>
            </w:pPr>
            <w:r>
              <w:rPr>
                <w:rFonts w:ascii="Times New Roman" w:hAnsi="Times New Roman"/>
                <w:sz w:val="24"/>
                <w:szCs w:val="24"/>
              </w:rPr>
              <w:t xml:space="preserve">1:10 000 </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S2"/>
              <w:widowControl w:val="false"/>
              <w:spacing w:lineRule="auto" w:line="240"/>
              <w:rPr/>
            </w:pPr>
            <w:r>
              <w:rPr/>
              <w:t>5</w:t>
            </w:r>
          </w:p>
        </w:tc>
        <w:tc>
          <w:tcPr>
            <w:tcW w:w="7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t>Карта зон с особыми условиями использования территории и территорий, подверженных риску возникновения чрезвычайных ситуаций природного и техногенного характера</w:t>
            </w:r>
          </w:p>
        </w:tc>
        <w:tc>
          <w:tcPr>
            <w:tcW w:w="14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right="33" w:hanging="0"/>
              <w:jc w:val="center"/>
              <w:rPr>
                <w:rFonts w:ascii="Times New Roman" w:hAnsi="Times New Roman"/>
                <w:sz w:val="24"/>
                <w:szCs w:val="24"/>
              </w:rPr>
            </w:pPr>
            <w:r>
              <w:rPr>
                <w:rFonts w:ascii="Times New Roman" w:hAnsi="Times New Roman"/>
                <w:sz w:val="24"/>
                <w:szCs w:val="24"/>
              </w:rPr>
              <w:t>1:10 000</w:t>
            </w:r>
          </w:p>
        </w:tc>
      </w:tr>
    </w:tbl>
    <w:p>
      <w:pPr>
        <w:pStyle w:val="Normal"/>
        <w:ind w:right="-285" w:hanging="0"/>
        <w:jc w:val="center"/>
        <w:rPr>
          <w:b/>
          <w:b/>
        </w:rPr>
      </w:pPr>
      <w:r>
        <w:rPr>
          <w:b/>
        </w:rPr>
      </w:r>
      <w:r>
        <w:br w:type="page"/>
      </w:r>
    </w:p>
    <w:p>
      <w:pPr>
        <w:pStyle w:val="Normal"/>
        <w:rPr>
          <w:b/>
          <w:b/>
        </w:rPr>
      </w:pPr>
      <w:r>
        <w:rPr>
          <w:b/>
        </w:rPr>
      </w:r>
    </w:p>
    <w:p>
      <w:pPr>
        <w:pStyle w:val="TOCHeading"/>
        <w:jc w:val="center"/>
        <w:rPr>
          <w:rFonts w:ascii="Times New Roman" w:hAnsi="Times New Roman"/>
          <w:color w:val="000000"/>
          <w:sz w:val="24"/>
          <w:szCs w:val="24"/>
        </w:rPr>
      </w:pPr>
      <w:r>
        <w:rPr>
          <w:rFonts w:ascii="Times New Roman" w:hAnsi="Times New Roman"/>
          <w:color w:val="000000"/>
          <w:sz w:val="24"/>
          <w:szCs w:val="24"/>
        </w:rPr>
        <w:t>СОЖЕРЖАНИЕ</w:t>
      </w:r>
    </w:p>
    <w:p>
      <w:pPr>
        <w:pStyle w:val="Normal"/>
        <w:rPr>
          <w:lang w:eastAsia="ru-RU"/>
        </w:rPr>
      </w:pPr>
      <w:r>
        <w:rPr>
          <w:lang w:eastAsia="ru-RU"/>
        </w:rPr>
      </w:r>
    </w:p>
    <w:sdt>
      <w:sdtPr>
        <w:docPartObj>
          <w:docPartGallery w:val="Table of Contents"/>
          <w:docPartUnique w:val="true"/>
        </w:docPartObj>
      </w:sdtPr>
      <w:sdtContent>
        <w:p>
          <w:pPr>
            <w:pStyle w:val="13"/>
            <w:rPr>
              <w:rFonts w:ascii="Calibri" w:hAnsi="Calibri"/>
              <w:b w:val="false"/>
              <w:b w:val="false"/>
              <w:caps w:val="false"/>
              <w:smallCaps w:val="false"/>
              <w:sz w:val="22"/>
              <w:lang w:eastAsia="ru-RU"/>
            </w:rPr>
          </w:pPr>
          <w:r>
            <w:fldChar w:fldCharType="begin"/>
          </w:r>
          <w:r>
            <w:rPr>
              <w:webHidden/>
              <w:shd w:fill="FFFFFF" w:val="clear"/>
            </w:rPr>
            <w:instrText> TOC \z \o "1-3" \u \h</w:instrText>
          </w:r>
          <w:r>
            <w:rPr>
              <w:webHidden/>
              <w:shd w:fill="FFFFFF" w:val="clear"/>
            </w:rPr>
            <w:fldChar w:fldCharType="separate"/>
          </w:r>
          <w:hyperlink w:anchor="_Toc142575249">
            <w:r>
              <w:rPr>
                <w:webHidden/>
                <w:shd w:fill="FFFFFF" w:val="clear"/>
              </w:rPr>
              <w:t>1.сведения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webHidden/>
              </w:rPr>
              <w:fldChar w:fldCharType="begin"/>
            </w:r>
            <w:r>
              <w:rPr>
                <w:webHidden/>
              </w:rPr>
              <w:instrText>PAGEREF _Toc142575249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50">
            <w:r>
              <w:rPr>
                <w:webHidden/>
              </w:rPr>
              <w:t>2.обоснование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w:t>
            </w:r>
            <w:r>
              <w:rPr>
                <w:webHidden/>
              </w:rPr>
              <w:fldChar w:fldCharType="begin"/>
            </w:r>
            <w:r>
              <w:rPr>
                <w:webHidden/>
              </w:rPr>
              <w:instrText>PAGEREF _Toc142575250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1">
            <w:r>
              <w:rPr>
                <w:webHidden/>
              </w:rPr>
              <w:t>2.1 Общая характеристика территории</w:t>
            </w:r>
            <w:r>
              <w:rPr>
                <w:webHidden/>
              </w:rPr>
              <w:fldChar w:fldCharType="begin"/>
            </w:r>
            <w:r>
              <w:rPr>
                <w:webHidden/>
              </w:rPr>
              <w:instrText>PAGEREF _Toc142575251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2">
            <w:r>
              <w:rPr>
                <w:webHidden/>
              </w:rPr>
              <w:t>2.2. Природные условия и ресурсы территории</w:t>
            </w:r>
            <w:r>
              <w:rPr>
                <w:webHidden/>
              </w:rPr>
              <w:fldChar w:fldCharType="begin"/>
            </w:r>
            <w:r>
              <w:rPr>
                <w:webHidden/>
              </w:rPr>
              <w:instrText>PAGEREF _Toc142575252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3">
            <w:r>
              <w:rPr>
                <w:webHidden/>
              </w:rPr>
              <w:t>2.3. Комплексная оценка и информация об основных проблемах развития территории городского округа</w:t>
            </w:r>
            <w:r>
              <w:rPr>
                <w:webHidden/>
              </w:rPr>
              <w:fldChar w:fldCharType="begin"/>
            </w:r>
            <w:r>
              <w:rPr>
                <w:webHidden/>
              </w:rPr>
              <w:instrText>PAGEREF _Toc142575253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4">
            <w:r>
              <w:rPr>
                <w:webHidden/>
              </w:rPr>
              <w:t>2.4. Инженерное обеспечение</w:t>
            </w:r>
            <w:r>
              <w:rPr>
                <w:webHidden/>
              </w:rPr>
              <w:fldChar w:fldCharType="begin"/>
            </w:r>
            <w:r>
              <w:rPr>
                <w:webHidden/>
              </w:rPr>
              <w:instrText>PAGEREF _Toc142575254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5">
            <w:r>
              <w:rPr>
                <w:webHidden/>
              </w:rPr>
              <w:t>2.5. Экологическое состояние</w:t>
            </w:r>
            <w:r>
              <w:rPr>
                <w:webHidden/>
              </w:rPr>
              <w:fldChar w:fldCharType="begin"/>
            </w:r>
            <w:r>
              <w:rPr>
                <w:webHidden/>
              </w:rPr>
              <w:instrText>PAGEREF _Toc142575255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6">
            <w:r>
              <w:rPr>
                <w:webHidden/>
              </w:rPr>
              <w:t>2.6. Комплексная оценка и проблемы развития территории</w:t>
            </w:r>
            <w:r>
              <w:rPr>
                <w:webHidden/>
              </w:rPr>
              <w:fldChar w:fldCharType="begin"/>
            </w:r>
            <w:r>
              <w:rPr>
                <w:webHidden/>
              </w:rPr>
              <w:instrText>PAGEREF _Toc142575256 \h</w:instrText>
            </w:r>
            <w:r>
              <w:rPr>
                <w:webHidden/>
              </w:rPr>
              <w:fldChar w:fldCharType="separate"/>
            </w:r>
            <w:r>
              <w:rPr>
                <w:vanish w:val="false"/>
              </w:rPr>
              <w:tab/>
              <w:t>4</w:t>
            </w:r>
            <w:r>
              <w:rPr>
                <w:webHidden/>
              </w:rPr>
              <w:fldChar w:fldCharType="end"/>
            </w:r>
          </w:hyperlink>
        </w:p>
        <w:p>
          <w:pPr>
            <w:pStyle w:val="34"/>
            <w:tabs>
              <w:tab w:val="clear" w:pos="709"/>
              <w:tab w:val="right" w:pos="9345" w:leader="dot"/>
            </w:tabs>
            <w:rPr>
              <w:rFonts w:ascii="Calibri" w:hAnsi="Calibri"/>
              <w:color w:val="auto"/>
              <w:sz w:val="22"/>
              <w:lang w:eastAsia="ru-RU"/>
            </w:rPr>
          </w:pPr>
          <w:hyperlink w:anchor="_Toc142575257">
            <w:r>
              <w:rPr>
                <w:webHidden/>
              </w:rPr>
              <w:t>2.7. Градообразующая база и социально-экономический потенциал перспективного развития городского округа</w:t>
            </w:r>
            <w:r>
              <w:rPr>
                <w:webHidden/>
              </w:rPr>
              <w:fldChar w:fldCharType="begin"/>
            </w:r>
            <w:r>
              <w:rPr>
                <w:webHidden/>
              </w:rPr>
              <w:instrText>PAGEREF _Toc142575257 \h</w:instrText>
            </w:r>
            <w:r>
              <w:rPr>
                <w:webHidden/>
              </w:rPr>
              <w:fldChar w:fldCharType="separate"/>
            </w:r>
            <w:r>
              <w:rPr>
                <w:vanish w:val="false"/>
              </w:rPr>
              <w:tab/>
              <w:t>4</w:t>
            </w:r>
            <w:r>
              <w:rPr>
                <w:webHidden/>
              </w:rPr>
              <w:fldChar w:fldCharType="end"/>
            </w:r>
          </w:hyperlink>
        </w:p>
        <w:p>
          <w:pPr>
            <w:pStyle w:val="34"/>
            <w:tabs>
              <w:tab w:val="clear" w:pos="709"/>
              <w:tab w:val="right" w:pos="9345" w:leader="dot"/>
            </w:tabs>
            <w:rPr>
              <w:rFonts w:ascii="Calibri" w:hAnsi="Calibri"/>
              <w:color w:val="auto"/>
              <w:sz w:val="22"/>
              <w:lang w:eastAsia="ru-RU"/>
            </w:rPr>
          </w:pPr>
          <w:hyperlink w:anchor="_Toc142575258">
            <w:r>
              <w:rPr>
                <w:webHidden/>
              </w:rPr>
              <w:t>2.8. Анализ экономического развития городского округа город Новоалтайск по итогам 2019 года</w:t>
            </w:r>
            <w:r>
              <w:rPr>
                <w:webHidden/>
              </w:rPr>
              <w:fldChar w:fldCharType="begin"/>
            </w:r>
            <w:r>
              <w:rPr>
                <w:webHidden/>
              </w:rPr>
              <w:instrText>PAGEREF _Toc142575258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59">
            <w:r>
              <w:rPr>
                <w:webHidden/>
              </w:rPr>
              <w:t>2.9. Анализ предложенных ранее концепций территориально-планировочного развития городского округа</w:t>
            </w:r>
            <w:r>
              <w:rPr>
                <w:webHidden/>
              </w:rPr>
              <w:fldChar w:fldCharType="begin"/>
            </w:r>
            <w:r>
              <w:rPr>
                <w:webHidden/>
              </w:rPr>
              <w:instrText>PAGEREF _Toc142575259 \h</w:instrText>
            </w:r>
            <w:r>
              <w:rPr>
                <w:webHidden/>
              </w:rPr>
              <w:fldChar w:fldCharType="separate"/>
            </w:r>
            <w:r>
              <w:rPr>
                <w:vanish w:val="false"/>
              </w:rPr>
              <w:tab/>
              <w:t>4</w:t>
            </w:r>
            <w:r>
              <w:rPr>
                <w:webHidden/>
              </w:rPr>
              <w:fldChar w:fldCharType="end"/>
            </w:r>
          </w:hyperlink>
        </w:p>
        <w:p>
          <w:pPr>
            <w:pStyle w:val="34"/>
            <w:tabs>
              <w:tab w:val="clear" w:pos="709"/>
              <w:tab w:val="right" w:pos="9345" w:leader="dot"/>
            </w:tabs>
            <w:rPr>
              <w:rFonts w:ascii="Calibri" w:hAnsi="Calibri"/>
              <w:color w:val="auto"/>
              <w:sz w:val="22"/>
              <w:lang w:eastAsia="ru-RU"/>
            </w:rPr>
          </w:pPr>
          <w:hyperlink w:anchor="_Toc142575260">
            <w:r>
              <w:rPr>
                <w:webHidden/>
              </w:rPr>
              <w:t>2.9.1. Материалы по обоснованию Генерального плана 1965 года («Ленгипрогор»)</w:t>
            </w:r>
            <w:r>
              <w:rPr>
                <w:webHidden/>
              </w:rPr>
              <w:fldChar w:fldCharType="begin"/>
            </w:r>
            <w:r>
              <w:rPr>
                <w:webHidden/>
              </w:rPr>
              <w:instrText>PAGEREF _Toc142575260 \h</w:instrText>
            </w:r>
            <w:r>
              <w:rPr>
                <w:webHidden/>
              </w:rPr>
              <w:fldChar w:fldCharType="separate"/>
            </w:r>
            <w:r>
              <w:rPr>
                <w:vanish w:val="false"/>
              </w:rPr>
              <w:tab/>
              <w:t>4</w:t>
            </w:r>
            <w:r>
              <w:rPr>
                <w:webHidden/>
              </w:rPr>
              <w:fldChar w:fldCharType="end"/>
            </w:r>
          </w:hyperlink>
        </w:p>
        <w:p>
          <w:pPr>
            <w:pStyle w:val="34"/>
            <w:tabs>
              <w:tab w:val="clear" w:pos="709"/>
              <w:tab w:val="right" w:pos="9345" w:leader="dot"/>
            </w:tabs>
            <w:rPr>
              <w:rFonts w:ascii="Calibri" w:hAnsi="Calibri"/>
              <w:color w:val="auto"/>
              <w:sz w:val="22"/>
              <w:lang w:eastAsia="ru-RU"/>
            </w:rPr>
          </w:pPr>
          <w:hyperlink w:anchor="_Toc142575261">
            <w:r>
              <w:rPr>
                <w:webHidden/>
              </w:rPr>
              <w:t>2.9.2. Материалы по обоснованию Генерального плана 1985 года («ГИПРОКОММУНСТРОЙ») (с изменениями в 1987 году, «Ленгипрогор»)</w:t>
            </w:r>
            <w:r>
              <w:rPr>
                <w:webHidden/>
              </w:rPr>
              <w:fldChar w:fldCharType="begin"/>
            </w:r>
            <w:r>
              <w:rPr>
                <w:webHidden/>
              </w:rPr>
              <w:instrText>PAGEREF _Toc142575261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62">
            <w:r>
              <w:rPr>
                <w:webHidden/>
              </w:rPr>
              <w:t>2.10. Баланс земель городского округа город Новоалтайск Алтайского края</w:t>
            </w:r>
            <w:r>
              <w:rPr>
                <w:webHidden/>
              </w:rPr>
              <w:fldChar w:fldCharType="begin"/>
            </w:r>
            <w:r>
              <w:rPr>
                <w:webHidden/>
              </w:rPr>
              <w:instrText>PAGEREF _Toc142575262 \h</w:instrText>
            </w:r>
            <w:r>
              <w:rPr>
                <w:webHidden/>
              </w:rPr>
              <w:fldChar w:fldCharType="separate"/>
            </w:r>
            <w:r>
              <w:rPr>
                <w:vanish w:val="false"/>
              </w:rPr>
              <w:tab/>
              <w:t>4</w:t>
            </w:r>
            <w:r>
              <w:rPr>
                <w:webHidden/>
              </w:rPr>
              <w:fldChar w:fldCharType="end"/>
            </w:r>
          </w:hyperlink>
        </w:p>
        <w:p>
          <w:pPr>
            <w:pStyle w:val="27"/>
            <w:tabs>
              <w:tab w:val="clear" w:pos="709"/>
              <w:tab w:val="right" w:pos="9345" w:leader="dot"/>
            </w:tabs>
            <w:rPr>
              <w:rFonts w:ascii="Calibri" w:hAnsi="Calibri"/>
              <w:sz w:val="22"/>
              <w:lang w:eastAsia="ru-RU"/>
            </w:rPr>
          </w:pPr>
          <w:hyperlink w:anchor="_Toc142575263">
            <w:r>
              <w:rPr>
                <w:webHidden/>
              </w:rPr>
              <w:t>2.11. Параметры функциональных зон, а также сведения о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w:t>
            </w:r>
            <w:r>
              <w:rPr>
                <w:webHidden/>
              </w:rPr>
              <w:fldChar w:fldCharType="begin"/>
            </w:r>
            <w:r>
              <w:rPr>
                <w:webHidden/>
              </w:rPr>
              <w:instrText>PAGEREF _Toc142575263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64">
            <w:r>
              <w:rPr>
                <w:webHidden/>
                <w:shd w:fill="FFFFFF" w:val="clear"/>
              </w:rPr>
              <w:t>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Pr>
                <w:webHidden/>
              </w:rPr>
              <w:fldChar w:fldCharType="begin"/>
            </w:r>
            <w:r>
              <w:rPr>
                <w:webHidden/>
              </w:rPr>
              <w:instrText>PAGEREF _Toc142575264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65">
            <w:r>
              <w:rPr>
                <w:webHidden/>
                <w:shd w:fill="FFFFFF" w:val="clear"/>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fldChar w:fldCharType="begin"/>
            </w:r>
            <w:r>
              <w:rPr>
                <w:webHidden/>
              </w:rPr>
              <w:instrText>PAGEREF _Toc142575265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66">
            <w:r>
              <w:rPr>
                <w:webHidden/>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fldChar w:fldCharType="begin"/>
            </w:r>
            <w:r>
              <w:rPr>
                <w:webHidden/>
              </w:rPr>
              <w:instrText>PAGEREF _Toc142575266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67">
            <w:r>
              <w:rPr>
                <w:webHidden/>
              </w:rPr>
              <w:t>6. Перечень и характеристики основных факторов риска возникновения чрезвычайных ситуаций природного и техногенного характера</w:t>
            </w:r>
            <w:r>
              <w:rPr>
                <w:webHidden/>
              </w:rPr>
              <w:fldChar w:fldCharType="begin"/>
            </w:r>
            <w:r>
              <w:rPr>
                <w:webHidden/>
              </w:rPr>
              <w:instrText>PAGEREF _Toc142575267 \h</w:instrText>
            </w:r>
            <w:r>
              <w:rPr>
                <w:webHidden/>
              </w:rPr>
              <w:fldChar w:fldCharType="separate"/>
            </w:r>
            <w:r>
              <w:rPr>
                <w:vanish w:val="false"/>
              </w:rPr>
              <w:tab/>
              <w:t>4</w:t>
            </w:r>
            <w:r>
              <w:rPr>
                <w:webHidden/>
              </w:rPr>
              <w:fldChar w:fldCharType="end"/>
            </w:r>
          </w:hyperlink>
        </w:p>
        <w:p>
          <w:pPr>
            <w:pStyle w:val="27"/>
            <w:tabs>
              <w:tab w:val="clear" w:pos="709"/>
              <w:tab w:val="left" w:pos="660" w:leader="none"/>
              <w:tab w:val="right" w:pos="9345" w:leader="dot"/>
            </w:tabs>
            <w:rPr>
              <w:rFonts w:ascii="Calibri" w:hAnsi="Calibri"/>
              <w:sz w:val="22"/>
              <w:lang w:eastAsia="ru-RU"/>
            </w:rPr>
          </w:pPr>
          <w:hyperlink w:anchor="_Toc142575268">
            <w:r>
              <w:rPr>
                <w:webHidden/>
              </w:rPr>
              <w:t>a.</w:t>
            </w:r>
            <w:r>
              <w:rPr>
                <w:rFonts w:ascii="Calibri" w:hAnsi="Calibri"/>
                <w:sz w:val="22"/>
                <w:lang w:eastAsia="ru-RU"/>
              </w:rPr>
              <w:tab/>
            </w:r>
            <w:r>
              <w:rPr/>
              <w:t>Чрезвычайные ситуации природного характера</w:t>
            </w:r>
            <w:r>
              <w:rPr>
                <w:webHidden/>
              </w:rPr>
              <w:fldChar w:fldCharType="begin"/>
            </w:r>
            <w:r>
              <w:rPr>
                <w:webHidden/>
              </w:rPr>
              <w:instrText>PAGEREF _Toc142575268 \h</w:instrText>
            </w:r>
            <w:r>
              <w:rPr>
                <w:webHidden/>
              </w:rPr>
              <w:fldChar w:fldCharType="separate"/>
            </w:r>
            <w:r>
              <w:rPr>
                <w:vanish w:val="false"/>
              </w:rPr>
              <w:tab/>
              <w:t>4</w:t>
            </w:r>
            <w:r>
              <w:rPr>
                <w:webHidden/>
              </w:rPr>
              <w:fldChar w:fldCharType="end"/>
            </w:r>
          </w:hyperlink>
        </w:p>
        <w:p>
          <w:pPr>
            <w:pStyle w:val="27"/>
            <w:tabs>
              <w:tab w:val="clear" w:pos="709"/>
              <w:tab w:val="left" w:pos="660" w:leader="none"/>
              <w:tab w:val="right" w:pos="9345" w:leader="dot"/>
            </w:tabs>
            <w:rPr>
              <w:rFonts w:ascii="Calibri" w:hAnsi="Calibri"/>
              <w:sz w:val="22"/>
              <w:lang w:eastAsia="ru-RU"/>
            </w:rPr>
          </w:pPr>
          <w:hyperlink w:anchor="_Toc142575269">
            <w:r>
              <w:rPr>
                <w:webHidden/>
              </w:rPr>
              <w:t>b.</w:t>
            </w:r>
            <w:r>
              <w:rPr>
                <w:rFonts w:ascii="Calibri" w:hAnsi="Calibri"/>
                <w:sz w:val="22"/>
                <w:lang w:eastAsia="ru-RU"/>
              </w:rPr>
              <w:tab/>
            </w:r>
            <w:r>
              <w:rPr/>
              <w:t>Чрезвычайные ситуации техногенного характера</w:t>
            </w:r>
            <w:r>
              <w:rPr>
                <w:webHidden/>
              </w:rPr>
              <w:fldChar w:fldCharType="begin"/>
            </w:r>
            <w:r>
              <w:rPr>
                <w:webHidden/>
              </w:rPr>
              <w:instrText>PAGEREF _Toc142575269 \h</w:instrText>
            </w:r>
            <w:r>
              <w:rPr>
                <w:webHidden/>
              </w:rPr>
              <w:fldChar w:fldCharType="separate"/>
            </w:r>
            <w:r>
              <w:rPr>
                <w:vanish w:val="false"/>
              </w:rPr>
              <w:tab/>
              <w:t>4</w:t>
            </w:r>
            <w:r>
              <w:rPr>
                <w:webHidden/>
              </w:rPr>
              <w:fldChar w:fldCharType="end"/>
            </w:r>
          </w:hyperlink>
        </w:p>
        <w:p>
          <w:pPr>
            <w:pStyle w:val="27"/>
            <w:tabs>
              <w:tab w:val="clear" w:pos="709"/>
              <w:tab w:val="left" w:pos="660" w:leader="none"/>
              <w:tab w:val="right" w:pos="9345" w:leader="dot"/>
            </w:tabs>
            <w:rPr>
              <w:rFonts w:ascii="Calibri" w:hAnsi="Calibri"/>
              <w:sz w:val="22"/>
              <w:lang w:eastAsia="ru-RU"/>
            </w:rPr>
          </w:pPr>
          <w:hyperlink w:anchor="_Toc142575270">
            <w:r>
              <w:rPr>
                <w:webHidden/>
              </w:rPr>
              <w:t>c.</w:t>
            </w:r>
            <w:r>
              <w:rPr>
                <w:rFonts w:ascii="Calibri" w:hAnsi="Calibri"/>
                <w:sz w:val="22"/>
                <w:lang w:eastAsia="ru-RU"/>
              </w:rPr>
              <w:tab/>
            </w:r>
            <w:r>
              <w:rPr/>
              <w:t>Чрезвычайные ситуации биолого-социального характера</w:t>
            </w:r>
            <w:r>
              <w:rPr>
                <w:webHidden/>
              </w:rPr>
              <w:fldChar w:fldCharType="begin"/>
            </w:r>
            <w:r>
              <w:rPr>
                <w:webHidden/>
              </w:rPr>
              <w:instrText>PAGEREF _Toc142575270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71">
            <w:r>
              <w:rPr>
                <w:webHidden/>
              </w:rPr>
              <w:t>7. Перечень земельных участков, которые включаются в границы населенных пунктов, входящих в состав поселения или исключатся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fldChar w:fldCharType="begin"/>
            </w:r>
            <w:r>
              <w:rPr>
                <w:webHidden/>
              </w:rPr>
              <w:instrText>PAGEREF _Toc142575271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72">
            <w:r>
              <w:rPr>
                <w:webHidden/>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webHidden/>
              </w:rPr>
              <w:fldChar w:fldCharType="begin"/>
            </w:r>
            <w:r>
              <w:rPr>
                <w:webHidden/>
              </w:rPr>
              <w:instrText>PAGEREF _Toc142575272 \h</w:instrText>
            </w:r>
            <w:r>
              <w:rPr>
                <w:webHidden/>
              </w:rPr>
              <w:fldChar w:fldCharType="separate"/>
            </w:r>
            <w:r>
              <w:rPr>
                <w:vanish w:val="false"/>
              </w:rPr>
              <w:tab/>
              <w:t>4</w:t>
            </w:r>
            <w:r>
              <w:rPr>
                <w:webHidden/>
              </w:rPr>
              <w:fldChar w:fldCharType="end"/>
            </w:r>
          </w:hyperlink>
        </w:p>
        <w:p>
          <w:pPr>
            <w:pStyle w:val="13"/>
            <w:rPr>
              <w:rFonts w:ascii="Calibri" w:hAnsi="Calibri"/>
              <w:b w:val="false"/>
              <w:b w:val="false"/>
              <w:caps w:val="false"/>
              <w:smallCaps w:val="false"/>
              <w:sz w:val="22"/>
              <w:lang w:eastAsia="ru-RU"/>
            </w:rPr>
          </w:pPr>
          <w:hyperlink w:anchor="_Toc142575273">
            <w:r>
              <w:rPr>
                <w:webHidden/>
              </w:rPr>
              <w:t>9. Основные технико-экономический показатели генерального плана городского округа город Новоалтайск Алтайского края</w:t>
            </w:r>
            <w:r>
              <w:rPr>
                <w:webHidden/>
              </w:rPr>
              <w:fldChar w:fldCharType="begin"/>
            </w:r>
            <w:r>
              <w:rPr>
                <w:webHidden/>
              </w:rPr>
              <w:instrText>PAGEREF _Toc142575273 \h</w:instrText>
            </w:r>
            <w:r>
              <w:rPr>
                <w:webHidden/>
              </w:rPr>
              <w:fldChar w:fldCharType="separate"/>
            </w:r>
            <w:r>
              <w:rPr>
                <w:vanish w:val="false"/>
              </w:rPr>
              <w:tab/>
              <w:t>4</w:t>
            </w:r>
            <w:r>
              <w:rPr>
                <w:webHidden/>
              </w:rPr>
              <w:fldChar w:fldCharType="end"/>
            </w:r>
          </w:hyperlink>
          <w:r>
            <w:rPr>
              <w:vanish w:val="false"/>
            </w:rPr>
            <w:fldChar w:fldCharType="end"/>
          </w:r>
        </w:p>
      </w:sdtContent>
    </w:sdt>
    <w:p>
      <w:pPr>
        <w:pStyle w:val="Normal"/>
        <w:jc w:val="both"/>
        <w:rPr>
          <w:rFonts w:ascii="Times New Roman" w:hAnsi="Times New Roman"/>
          <w:sz w:val="24"/>
          <w:szCs w:val="24"/>
        </w:rPr>
      </w:pPr>
      <w:r>
        <w:rPr>
          <w:rFonts w:ascii="Times New Roman" w:hAnsi="Times New Roman"/>
          <w:sz w:val="24"/>
          <w:szCs w:val="24"/>
        </w:rPr>
      </w:r>
    </w:p>
    <w:p>
      <w:pPr>
        <w:pStyle w:val="Normal"/>
        <w:rPr/>
      </w:pPr>
      <w:r>
        <w:rPr/>
      </w:r>
    </w:p>
    <w:p>
      <w:pPr>
        <w:pStyle w:val="Normal"/>
        <w:jc w:val="center"/>
        <w:rPr>
          <w:rFonts w:ascii="Times New Roman" w:hAnsi="Times New Roman"/>
          <w:sz w:val="24"/>
          <w:szCs w:val="24"/>
        </w:rPr>
      </w:pPr>
      <w:r>
        <w:rPr>
          <w:rFonts w:ascii="Times New Roman" w:hAnsi="Times New Roman"/>
          <w:sz w:val="24"/>
          <w:szCs w:val="24"/>
        </w:rPr>
      </w:r>
      <w:r>
        <w:br w:type="page"/>
      </w:r>
    </w:p>
    <w:p>
      <w:pPr>
        <w:pStyle w:val="Normal"/>
        <w:rPr>
          <w:rFonts w:ascii="Times New Roman" w:hAnsi="Times New Roman"/>
          <w:b/>
          <w:b/>
          <w:bCs/>
          <w:sz w:val="24"/>
          <w:szCs w:val="24"/>
        </w:rPr>
      </w:pPr>
      <w:bookmarkStart w:id="0" w:name="_Toc494444457"/>
      <w:bookmarkStart w:id="1" w:name="_Toc484523067"/>
      <w:bookmarkStart w:id="2" w:name="_Toc372547277"/>
      <w:bookmarkStart w:id="3" w:name="_Toc332204100"/>
      <w:bookmarkStart w:id="4" w:name="_Toc135662167"/>
      <w:r>
        <w:rPr>
          <w:rFonts w:ascii="Times New Roman" w:hAnsi="Times New Roman"/>
          <w:b/>
          <w:bCs/>
          <w:sz w:val="24"/>
          <w:szCs w:val="24"/>
        </w:rPr>
        <w:t>ОБЩИЕ ПОЛОЖЕНИЯ</w:t>
      </w:r>
      <w:bookmarkEnd w:id="4"/>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Проект внесения изменений в Генеральный план городского округа город Новоалтайск Алтайского края (далее – Генеральный план) выполнен на основании Муниципального контракта №1 от 24.03.2023г. на выполнение работ по подготовке проекта внесение изменений в генеральный план и правила землепользования и застройки городского округа город Новоалтайск Алтайского края, а также технического задания.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Основанием для подготовки проекта Генерального плана являются следующие нормативно-правовые акты:</w:t>
      </w:r>
    </w:p>
    <w:p>
      <w:pPr>
        <w:pStyle w:val="Style47"/>
        <w:numPr>
          <w:ilvl w:val="0"/>
          <w:numId w:val="8"/>
        </w:numPr>
        <w:spacing w:before="0" w:after="0"/>
        <w:ind w:left="1" w:firstLine="709"/>
        <w:rPr/>
      </w:pPr>
      <w:r>
        <w:rPr/>
        <w:t>Градостроительный кодекс РФ;</w:t>
      </w:r>
    </w:p>
    <w:p>
      <w:pPr>
        <w:pStyle w:val="Style47"/>
        <w:numPr>
          <w:ilvl w:val="0"/>
          <w:numId w:val="8"/>
        </w:numPr>
        <w:spacing w:before="0" w:after="0"/>
        <w:ind w:left="1" w:firstLine="709"/>
        <w:rPr/>
      </w:pPr>
      <w:r>
        <w:rPr/>
        <w:t>Федеральный закон №131 от 6.10.2003 г. «Об общих принципах организации местного самоуправления в РФ»;</w:t>
      </w:r>
    </w:p>
    <w:p>
      <w:pPr>
        <w:pStyle w:val="Style47"/>
        <w:numPr>
          <w:ilvl w:val="0"/>
          <w:numId w:val="10"/>
        </w:numPr>
        <w:spacing w:before="0" w:after="0"/>
        <w:ind w:left="0" w:firstLine="709"/>
        <w:rPr/>
      </w:pPr>
      <w:r>
        <w:rPr/>
        <w:t>Постановление Администрации города Новоалтайска Алтайского края от 24.01.2023г. №111 «О подготовке проекта решения о внесении изменений в Генеральный план муниципального образования городского округа город Новоалтайск»;</w:t>
      </w:r>
    </w:p>
    <w:p>
      <w:pPr>
        <w:pStyle w:val="Style47"/>
        <w:numPr>
          <w:ilvl w:val="0"/>
          <w:numId w:val="11"/>
        </w:numPr>
        <w:spacing w:before="0" w:after="0"/>
        <w:ind w:left="0" w:firstLine="709"/>
        <w:rPr/>
      </w:pPr>
      <w:r>
        <w:rPr/>
        <w:t>Постановление Администрации города Новоалтайска от 19.12.2022г. №2506 «О подготовке проекта о внесении изменений в Правила землепользования и застройки муниципального образования городского округа город Новоалтайск» (с изменением от 17.01.2023г №37);</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Проект генерального плана городского округа город Новоалтайск Алтайского края выполнен в местной системе координат Алтайского края МСК-22, зона 3 (МСК-22, зона 3), на основе ортофотопланов, а также цифровых спутниковых снимков общего доступа и кадастровых планов территорий муниципального образования с выгрузкой ПКК Роскадастр от марта 2023 года.</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Проект Генерального плана выполнен с применением компьютерных геоинформационных технологий в программе «MapInfo»; содержит соответствующие картографические слои и электронные таблицы.</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Цели работы по подготовке проекта генерального плана:</w:t>
      </w:r>
    </w:p>
    <w:p>
      <w:pPr>
        <w:pStyle w:val="Style47"/>
        <w:numPr>
          <w:ilvl w:val="0"/>
          <w:numId w:val="8"/>
        </w:numPr>
        <w:spacing w:before="0" w:after="0"/>
        <w:ind w:left="1" w:firstLine="709"/>
        <w:rPr/>
      </w:pPr>
      <w:r>
        <w:rPr/>
        <w:t>приведение документов генерального плана в соответствие техническим регламентам и нормативам градостроительного проектирования;</w:t>
      </w:r>
    </w:p>
    <w:p>
      <w:pPr>
        <w:pStyle w:val="Style47"/>
        <w:numPr>
          <w:ilvl w:val="0"/>
          <w:numId w:val="8"/>
        </w:numPr>
        <w:spacing w:before="0" w:after="0"/>
        <w:ind w:left="1" w:firstLine="709"/>
        <w:rPr/>
      </w:pPr>
      <w:r>
        <w:rPr/>
        <w:t>создание правовых гарантий и условий для устойчивого развития территории муниципального образования, сохранения окружающей среды и объектов культурного наследия;</w:t>
      </w:r>
    </w:p>
    <w:p>
      <w:pPr>
        <w:pStyle w:val="Style47"/>
        <w:numPr>
          <w:ilvl w:val="0"/>
          <w:numId w:val="8"/>
        </w:numPr>
        <w:spacing w:before="0" w:after="0"/>
        <w:ind w:left="1" w:firstLine="709"/>
        <w:rPr/>
      </w:pPr>
      <w:r>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pPr>
        <w:pStyle w:val="Normal"/>
        <w:spacing w:lineRule="auto" w:line="240" w:before="0" w:after="0"/>
        <w:ind w:firstLine="709"/>
        <w:rPr>
          <w:rFonts w:ascii="Times New Roman" w:hAnsi="Times New Roman"/>
          <w:b/>
          <w:b/>
          <w:bCs/>
          <w:sz w:val="24"/>
          <w:szCs w:val="24"/>
        </w:rPr>
      </w:pPr>
      <w:r>
        <w:rPr>
          <w:rFonts w:ascii="Times New Roman" w:hAnsi="Times New Roman"/>
          <w:b/>
          <w:bCs/>
          <w:sz w:val="24"/>
          <w:szCs w:val="24"/>
        </w:rPr>
      </w:r>
      <w:bookmarkStart w:id="5" w:name="_Toc135662168"/>
      <w:bookmarkStart w:id="6" w:name="_Toc52300948"/>
      <w:bookmarkStart w:id="7" w:name="_Toc9421844"/>
      <w:bookmarkStart w:id="8" w:name="_Toc135662168"/>
      <w:bookmarkStart w:id="9" w:name="_Toc52300948"/>
      <w:bookmarkStart w:id="10" w:name="_Toc9421844"/>
    </w:p>
    <w:p>
      <w:pPr>
        <w:pStyle w:val="Normal"/>
        <w:spacing w:lineRule="auto" w:line="240" w:before="0" w:after="0"/>
        <w:ind w:firstLine="709"/>
        <w:rPr>
          <w:rFonts w:ascii="Times New Roman" w:hAnsi="Times New Roman"/>
          <w:b/>
          <w:b/>
          <w:bCs/>
          <w:sz w:val="24"/>
          <w:szCs w:val="24"/>
        </w:rPr>
      </w:pPr>
      <w:bookmarkStart w:id="11" w:name="_Toc494444457"/>
      <w:bookmarkStart w:id="12" w:name="_Toc484523067"/>
      <w:bookmarkStart w:id="13" w:name="_Toc372547277"/>
      <w:bookmarkStart w:id="14" w:name="_Toc332204100"/>
      <w:bookmarkStart w:id="15" w:name="_Toc135662168"/>
      <w:bookmarkStart w:id="16" w:name="_Toc52300948"/>
      <w:bookmarkStart w:id="17" w:name="_Toc9421844"/>
      <w:r>
        <w:rPr>
          <w:rFonts w:ascii="Times New Roman" w:hAnsi="Times New Roman"/>
          <w:b/>
          <w:bCs/>
          <w:sz w:val="24"/>
          <w:szCs w:val="24"/>
        </w:rPr>
        <w:t>Сведения о нормативно-правовых актах Российской Федерации и субъекта Российской Федерации</w:t>
      </w:r>
      <w:bookmarkEnd w:id="11"/>
      <w:bookmarkEnd w:id="12"/>
      <w:bookmarkEnd w:id="13"/>
      <w:bookmarkEnd w:id="14"/>
      <w:bookmarkEnd w:id="15"/>
      <w:bookmarkEnd w:id="16"/>
      <w:bookmarkEnd w:id="17"/>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Генеральный план выполнен в соответствии со следующими основными нормативными правовыми актами: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Градостроительный кодекс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Земельный кодекс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Водный кодекс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Лесной кодекс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Воздушный кодекс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29.07.2017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07.07.2003 г. № 112-ФЗ «О личном подсобном хозяйстве»;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11.06.2003 г. № 74-ФЗ «О крестьянском (фермерском) хозяйстве»;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29.07.2017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24.07.2002 г. № 101-ФЗ «Об обороте земель сельскохозяйственного назначения»;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21.07.1997 г.  № 122-ФЗ «О государственной регистрации прав на недвижимое имущество и сделок с ним»;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29.12.2014 г. № 473-ФЗ «О территориях опережающего социально-экономического развития в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28.06.2014 г. № 172-ФЗ «О стратегическом планировании в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14.03.1995 г. № 33-ФЗ «Об особо охраняемых природных территориях»;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25.06.2002 г. № 73-ФЗ «Об объектах культурного наследия (памятниках истории и культуры) народов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06.10.2003 г. № 131-ФЗ «Об общих принципах организации местного самоуправления в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Закон Российской Федерации от 21.02.1992 г. № 2395-1 «О недрах»;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30.03.1999 г. № 52-ФЗ «О санитарно-эпидемиологическом благополучии населения» (с изменениями и дополнениями);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10.01.2002 г. № 7-ФЗ «Об охране окружающей среды»;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24.07.2007 г. № 221-ФЗ «О кадастровой деятельности» (с изменениями и дополнениями);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21.12.2004 г.  № 172-ФЗ «О переводе земель или земельных участков из одной категории в другую» (с изменениями и дополнениями);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22.07.2008 г. № 123-ФЗ «Технический регламент о требованиях пожарной безопасности»;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13.07.2015 г. № 218-ФЗ «О государственной регистрации недвижимости»;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Федеральный закон от 18.06.2001 г. № 78-ФЗ «О землеустройстве»;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Постановление Правительства Российской Федерации от 09.06.2006 г. № 363 «Об информационном обеспечении градостроительной деятельности»;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СП 18.13330.2011 «Генеральные планы промышленных предприятий. Актуализированная редакция СНиП II-89-80*»;</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СП 19.13330.2011 «Генеральные планы сельскохозяйственных предприятий. Актуализированная редакция СНиП II-97-76*»;</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СП 165.1325800.2014. Свод правил. Инженерно-технические мероприятия по гражданской обороне. Актуализированная редакция СНиП 2.01.51-90;</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СанПиН 2.1.3.2630-10 «Санитарно-эпидемиологические требования к организациям, осуществляющим медицинскую деятельность»;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регионального развития Российской Федерации от 26.05.2011 г. № 244 «Об утверждении Методических рекомендаций по разработке проектов генеральных планов поселений и городских округов»;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экономического развития Российской Федерации от 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г. №793;</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экономического развития РФ от 21.07.2016 г.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РФ от 18.04.2014 г. № 360 «Об определении границ зон затопления, подтопления»;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Госгортехнадзора Российской Федерации от 22.04.1992 г. № 9 «Правила охраны магистральных трубопроводов»;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20.11.2000 г. № 878 «Об утверждении Правил охраны газораспределительных сетей»;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27.08.1999 г. № 972 «Об утверждении Положения о создании охранных зон стационарных пунктов наблюдений за состоянием окружающей природной среды, ее загрязнением»;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10.01.2009 г. № 17 «Об утверждении Правил установления на местности границ водоохранных зон и границ прибрежных защитных полос водных объектов»;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14.12.2009 г. № 1007 «Об утверждении Положения об определении функциональных зон в лесопарковых зонах, площади и границ лесопарковых зон, зеленых зон»;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26.12.2014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30.07.2009 г. № 621 «Об утверждении формы карты (плана) объекта землеустройства и требований к ее составлению»;</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08.09.2010 г.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19.03.2013 г.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06.05.2015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28.12.2012 г. № 2607-р «Об утверждении схемы территориального планирования Российской Федерации в области здравоохранения»;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01.08.2016 г. № 1634-р «Об утверждении Схемы территориального планирования Российской Федерации в области энергетики»;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Распоряжение Правительства Российской Федерации от 26.02.2013 г. № 247-р «Об утверждении схемы территориального планирования Российской Федерации в области высшего профессионального образования»;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09.06.1995 г. № 578 «Об утверждении Правил охраны линий и сооружений связи Российской Федерации»;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Постановление Правительства Российской Федерации от 31.12.2015 г.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экономического развития Российской Федерации от 3.06. 2011 г. №267 «Об утверждении порядка описания местоположения границ объектов землеустройства»;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Минэкономразвития России от 04.05.2018 г.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регионального развития РФ от 02.04.2013 г.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регионального развития РФ от 02.04.2013 г.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Министерства регионального развития РФ от 02.04.2013 г.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Приказ Росреестра от 01.08.2014 г. № П/369 «О реализации информационного взаимодействия при ведении государственного кадастра недвижимости в электронном виде»;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Письмо Федеральной службы государственной регистрации, кадастра и картографии Министерства экономического развития Российской Федерации от 19.02.2018 г. № 4118-ВА/Д23и «О внесении сведений о границах объектов землеустройства»;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Письмо ФГБУ ФКП Росреестра от 17.01.2018 г. № 01-00357-ГЕ/18 «Об установлении или изменении границ территориальных зон»;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Письмо ФГБУ ФКП Росреестра от 28.04.2018 г. № 10-0810-МС «Об изменениях в законодательстве»;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Письмо ФГБУ ФКП Росреестра от 28.04.2018 г. № 10-1876/18 «Для сведения и учета в работе»;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Закон Алтайского края от 29.12.2009 г. № 120-ЗС «О градостроительной деятельности на территории Алтайского края»;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Устав городского округа город Новоалтайск Алтайского края.</w:t>
      </w:r>
      <w:r>
        <w:br w:type="page"/>
      </w:r>
    </w:p>
    <w:p>
      <w:pPr>
        <w:pStyle w:val="Normal"/>
        <w:spacing w:lineRule="auto" w:line="276" w:before="0" w:after="0"/>
        <w:ind w:firstLine="567"/>
        <w:rPr>
          <w:rFonts w:ascii="Times New Roman" w:hAnsi="Times New Roman"/>
          <w:sz w:val="24"/>
          <w:szCs w:val="24"/>
        </w:rPr>
      </w:pPr>
      <w:r>
        <w:rPr>
          <w:rFonts w:ascii="Times New Roman" w:hAnsi="Times New Roman"/>
          <w:sz w:val="24"/>
          <w:szCs w:val="24"/>
        </w:rPr>
      </w:r>
    </w:p>
    <w:p>
      <w:pPr>
        <w:pStyle w:val="1"/>
        <w:numPr>
          <w:ilvl w:val="0"/>
          <w:numId w:val="0"/>
        </w:numPr>
        <w:ind w:left="0" w:firstLine="709"/>
        <w:jc w:val="both"/>
        <w:rPr>
          <w:sz w:val="24"/>
          <w:szCs w:val="24"/>
        </w:rPr>
      </w:pPr>
      <w:bookmarkStart w:id="18" w:name="_Toc142575249"/>
      <w:bookmarkStart w:id="19" w:name="_Toc135662169"/>
      <w:r>
        <w:rPr>
          <w:color w:val="000000"/>
          <w:sz w:val="24"/>
          <w:szCs w:val="24"/>
          <w:shd w:fill="FFFFFF" w:val="clear"/>
        </w:rPr>
        <w:t>1.сведения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8"/>
      <w:bookmarkEnd w:id="19"/>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В работе использованы следующие планово-прогнозные документы регионального и муниципального уровней:</w:t>
      </w:r>
    </w:p>
    <w:p>
      <w:pPr>
        <w:pStyle w:val="Style47"/>
        <w:numPr>
          <w:ilvl w:val="0"/>
          <w:numId w:val="8"/>
        </w:numPr>
        <w:ind w:left="1" w:firstLine="567"/>
        <w:rPr/>
      </w:pPr>
      <w:r>
        <w:rPr/>
        <w:t>Стратегия социально-экономического развития Алтайского края до 2035 года, утверждённая Законом Алтайского края от 06.09.2021 № 86-ЗС «Об утверждении стратегии социально-экономического развития Алтайского края до 2035 года»;</w:t>
      </w:r>
    </w:p>
    <w:p>
      <w:pPr>
        <w:pStyle w:val="Style47"/>
        <w:numPr>
          <w:ilvl w:val="0"/>
          <w:numId w:val="8"/>
        </w:numPr>
        <w:spacing w:before="0" w:after="0"/>
        <w:ind w:left="1" w:firstLine="567"/>
        <w:rPr/>
      </w:pPr>
      <w:r>
        <w:rPr/>
        <w:t>Программа комплексного развития транспортной инфраструктуры городского округа город Новоалтайск Алтайского края на 2018 - 2025 годы, утвержденная постановлением Администрации города Новоалтайска от 27.12.2017 № 2634;</w:t>
      </w:r>
    </w:p>
    <w:p>
      <w:pPr>
        <w:pStyle w:val="Style47"/>
        <w:numPr>
          <w:ilvl w:val="0"/>
          <w:numId w:val="8"/>
        </w:numPr>
        <w:spacing w:before="0" w:after="0"/>
        <w:ind w:left="1" w:firstLine="567"/>
        <w:rPr/>
      </w:pPr>
      <w:r>
        <w:rPr/>
        <w:t>Программа комплексного развития социальной инфраструктуры городского округа город Новоалтайск на 2017 - 2025 годы, утвержденная постановлением Администрации города Новоалтайска от 21.12.2017 г. № 2535;</w:t>
      </w:r>
    </w:p>
    <w:p>
      <w:pPr>
        <w:pStyle w:val="Style47"/>
        <w:numPr>
          <w:ilvl w:val="0"/>
          <w:numId w:val="8"/>
        </w:numPr>
        <w:spacing w:before="0" w:after="0"/>
        <w:ind w:left="1" w:firstLine="567"/>
        <w:rPr/>
      </w:pPr>
      <w:r>
        <w:rPr/>
        <w:t>Муниципальная программа «Газификация города Новоалтайска на 2021-2025 годы», утвержденная постановлением Администрации города Новоалтайска от 28.12.2020 №2034;</w:t>
      </w:r>
    </w:p>
    <w:p>
      <w:pPr>
        <w:pStyle w:val="Style47"/>
        <w:numPr>
          <w:ilvl w:val="0"/>
          <w:numId w:val="8"/>
        </w:numPr>
        <w:spacing w:before="0" w:after="0"/>
        <w:ind w:left="1" w:firstLine="567"/>
        <w:rPr/>
      </w:pPr>
      <w:r>
        <w:rPr/>
        <w:t>Схема теплоснабжения города Новоалтайска Алтайского края на 2013 – 2028 годы, утвержденная постановлением Администрации города Новоалтайска от 06.05.2016 №743.</w:t>
      </w:r>
    </w:p>
    <w:p>
      <w:pPr>
        <w:pStyle w:val="Style47"/>
        <w:numPr>
          <w:ilvl w:val="0"/>
          <w:numId w:val="8"/>
        </w:numPr>
        <w:spacing w:before="0" w:after="0"/>
        <w:ind w:left="1" w:firstLine="567"/>
        <w:rPr/>
      </w:pPr>
      <w:r>
        <w:rPr/>
        <w:t>Муниципальная программа «Развитие физический культуры и спорта в городе Новоалтайск на 2021-2025 годы», утвержденная постановлением Администрации города Новоалтайска от 17.12.2020 №1948 (с изменением от 23.05.2023г. №984);</w:t>
      </w:r>
    </w:p>
    <w:p>
      <w:pPr>
        <w:pStyle w:val="Style47"/>
        <w:numPr>
          <w:ilvl w:val="0"/>
          <w:numId w:val="8"/>
        </w:numPr>
        <w:spacing w:before="0" w:after="0"/>
        <w:ind w:left="1" w:firstLine="567"/>
        <w:rPr/>
      </w:pPr>
      <w:r>
        <w:rPr/>
        <w:t xml:space="preserve"> </w:t>
      </w:r>
      <w:r>
        <w:rPr/>
        <w:t>Адресная инвестиционная программа в городе Новоалтайск на 2023 год», утвержденная постановлением Администрации города Новоалтайска от 17.01.2023 №72 (с изменением от 21.04.2023г. №798);</w:t>
      </w:r>
    </w:p>
    <w:p>
      <w:pPr>
        <w:pStyle w:val="Style47"/>
        <w:numPr>
          <w:ilvl w:val="0"/>
          <w:numId w:val="8"/>
        </w:numPr>
        <w:ind w:left="1" w:firstLine="567"/>
        <w:rPr/>
      </w:pPr>
      <w:r>
        <w:rPr/>
        <w:t>Муниципальная программа «Развитие коммунальной инфраструктуры города Новоалтайска на 2021-2025 годы» от 28.12.2020г №2033 (изм. от 25.03.2021 № 455, от 16.09.2021 №1671, от 01.12.2021 № 2203, 17.03.2022 № 430, 18.04.2022 № 689, 30.05.2022 № 1019, 07.09.2022 № 1739, 07.02.2023 № 217).</w:t>
      </w:r>
    </w:p>
    <w:p>
      <w:pPr>
        <w:pStyle w:val="Style47"/>
        <w:numPr>
          <w:ilvl w:val="0"/>
          <w:numId w:val="0"/>
        </w:numPr>
        <w:ind w:left="568" w:hanging="0"/>
        <w:rPr/>
      </w:pPr>
      <w:r>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1"/>
        <w:numPr>
          <w:ilvl w:val="0"/>
          <w:numId w:val="0"/>
        </w:numPr>
        <w:ind w:left="0" w:firstLine="709"/>
        <w:jc w:val="both"/>
        <w:rPr>
          <w:sz w:val="24"/>
          <w:szCs w:val="24"/>
        </w:rPr>
      </w:pPr>
      <w:bookmarkStart w:id="20" w:name="_Toc142575250"/>
      <w:bookmarkStart w:id="21" w:name="_Toc135662170"/>
      <w:bookmarkStart w:id="22" w:name="_Toc52300950"/>
      <w:bookmarkStart w:id="23" w:name="_Toc20409518"/>
      <w:r>
        <w:rPr>
          <w:sz w:val="24"/>
          <w:szCs w:val="24"/>
        </w:rPr>
        <w:t>2.обоснование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w:t>
      </w:r>
      <w:bookmarkEnd w:id="20"/>
      <w:bookmarkEnd w:id="21"/>
      <w:bookmarkEnd w:id="22"/>
      <w:bookmarkEnd w:id="23"/>
    </w:p>
    <w:p>
      <w:pPr>
        <w:pStyle w:val="2"/>
        <w:numPr>
          <w:ilvl w:val="0"/>
          <w:numId w:val="0"/>
        </w:numPr>
        <w:ind w:left="0" w:firstLine="709"/>
        <w:rPr>
          <w:sz w:val="24"/>
          <w:szCs w:val="24"/>
        </w:rPr>
      </w:pPr>
      <w:bookmarkStart w:id="24" w:name="_Toc142575251"/>
      <w:bookmarkStart w:id="25" w:name="_Toc20409474"/>
      <w:bookmarkStart w:id="26" w:name="_Toc9421847"/>
      <w:bookmarkStart w:id="27" w:name="_Toc494444460"/>
      <w:bookmarkStart w:id="28" w:name="_Toc372547280"/>
      <w:r>
        <w:rPr>
          <w:sz w:val="24"/>
          <w:szCs w:val="24"/>
        </w:rPr>
        <w:t>2.1 Общая характеристика территории</w:t>
      </w:r>
      <w:bookmarkEnd w:id="24"/>
      <w:bookmarkEnd w:id="25"/>
      <w:bookmarkEnd w:id="26"/>
      <w:bookmarkEnd w:id="27"/>
      <w:bookmarkEnd w:id="28"/>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Город Новоалтайск расположен в северной части Алтайского края на правом берегу реки Оби, в нижнем течении ее правого притока – реки Чесноковка, в 12 км от центра урбанизации края – города Барнаула.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Город имеет выгодное транспортно-географическое положение, которое обусловлено нахождением его в центре пересечения Южно-сибирской железнодорожной магистрали с линией Новосибирск-Барнаул-Семипалатинск. Отсюда также отходит железнодорожная ветка на г. Бийск. Кроме этого, через территорию МО г. Новоалтайск проходят две автодороги 1 категории: федерального значения М-52 «Чуйский тракт» (Новосибирск-Бийск-Ташанта) и Новосибирск-Барнаул.</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Город Новоалтайск возник и начал развиваться в 18 веке, как одно из поселений, названного одноименно с рекой – «Чесноковка», зародившихся возле Белоярской крепости – одного из самых ранних и известных русских укрепленных пунктов на юге Верхнего Приобья. Построенная в 1717 году Белоярская крепость, является одной из первых крепостей на Алтае. Она осуществляла важное стратегическое значение в ходе продвижения России в Верхнее Приобье. К сожалению, крепость до наших дней не сохранилась. Именно год строительства Белоярской крепости – 1717 – может служить точкой отсчета в зарождении современного муниципального образования – городской округ город Новоалтайск.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Место для строительства укрепления было выбрано с целью хорошего обзора очень удачно – на краю высокого белого яра, посредине между местами впадения в Обь устьями речек Черемшанок и Чесноковки. Оно представляет из себя мыс, образованный Обской протокой. Вот что пишет в своем донесении о выборе места строительства крепости Иван Максюков: «А вблизи того города хлебопахотных мест, сенных покосов, рыбных ловель и всяких других угодий привольно». Плодородные земли Алтая привлекали к себе переселенцев из центральных районов России, и в 1880 году в поселении Чесноковка насчитывалось уже более 400 дворов.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1914 году были пущены в эксплуатацию железнодорожные линии Новосибирск-Барнаул и станция Алтайская-Бийск, что привело к образованию здесь железнодорожного узла.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1944 году поселок Чесноковка стал городом краевого подчинения, ряд промышленных объектов были эвакуированы сюда в годы Отечественной войны. Одним из таких объектов и основным градообразующим предприятием города, кроме железнодорожного узла, стал Алтайский вагоностроительный завод.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1962 году город Чесноковка был переименован в город Новоалтайск.  В настоящее время г. Новоалтайск – четвертый по величине город Алтайского края, значительный промышленный центр и важный транспортный узел. </w:t>
      </w:r>
    </w:p>
    <w:p>
      <w:pPr>
        <w:pStyle w:val="2"/>
        <w:numPr>
          <w:ilvl w:val="0"/>
          <w:numId w:val="0"/>
        </w:numPr>
        <w:spacing w:before="0" w:after="0"/>
        <w:ind w:left="0" w:firstLine="709"/>
        <w:jc w:val="both"/>
        <w:rPr>
          <w:sz w:val="24"/>
          <w:szCs w:val="24"/>
        </w:rPr>
      </w:pPr>
      <w:bookmarkStart w:id="29" w:name="_Toc142575252"/>
      <w:bookmarkStart w:id="30" w:name="_Toc135662171"/>
      <w:r>
        <w:rPr>
          <w:sz w:val="24"/>
          <w:szCs w:val="24"/>
        </w:rPr>
        <w:t>2.2. Природные условия и ресурсы территории</w:t>
      </w:r>
      <w:bookmarkEnd w:id="29"/>
      <w:bookmarkEnd w:id="30"/>
    </w:p>
    <w:p>
      <w:pPr>
        <w:pStyle w:val="Normal"/>
        <w:spacing w:lineRule="auto" w:line="240" w:before="0" w:after="0"/>
        <w:ind w:firstLine="567"/>
        <w:jc w:val="both"/>
        <w:rPr>
          <w:rFonts w:ascii="Times New Roman" w:hAnsi="Times New Roman"/>
          <w:b/>
          <w:b/>
          <w:bCs/>
          <w:sz w:val="24"/>
          <w:szCs w:val="24"/>
        </w:rPr>
      </w:pPr>
      <w:r>
        <w:rPr>
          <w:rFonts w:ascii="Times New Roman" w:hAnsi="Times New Roman"/>
          <w:b/>
          <w:bCs/>
          <w:sz w:val="24"/>
          <w:szCs w:val="24"/>
        </w:rPr>
        <w:t xml:space="preserve">Климат. </w:t>
      </w:r>
      <w:r>
        <w:rPr>
          <w:rFonts w:ascii="Times New Roman" w:hAnsi="Times New Roman"/>
          <w:sz w:val="24"/>
          <w:szCs w:val="24"/>
        </w:rPr>
        <w:t xml:space="preserve">Город Новоалтайск расположен в лесостепной зоне Западно-Сибирской низменности с континентальным, довольно сухим климатом, в зоне рискованного земледелия. Территория относится к климатическому району 1В. </w:t>
      </w:r>
    </w:p>
    <w:p>
      <w:pPr>
        <w:pStyle w:val="Normal"/>
        <w:spacing w:lineRule="auto" w:line="240" w:before="0" w:after="0"/>
        <w:ind w:firstLine="567"/>
        <w:jc w:val="both"/>
        <w:rPr>
          <w:rFonts w:ascii="Times New Roman" w:hAnsi="Times New Roman"/>
          <w:b/>
          <w:b/>
          <w:bCs/>
          <w:sz w:val="24"/>
          <w:szCs w:val="24"/>
        </w:rPr>
      </w:pPr>
      <w:r>
        <w:rPr>
          <w:rFonts w:ascii="Times New Roman" w:hAnsi="Times New Roman"/>
          <w:b/>
          <w:bCs/>
          <w:sz w:val="24"/>
          <w:szCs w:val="24"/>
        </w:rPr>
        <w:t>Температурный режим.</w:t>
      </w:r>
      <w:r>
        <w:rPr>
          <w:rFonts w:ascii="Times New Roman" w:hAnsi="Times New Roman"/>
          <w:sz w:val="24"/>
          <w:szCs w:val="24"/>
        </w:rPr>
        <w:t xml:space="preserve"> Холодная зима длится с ноября до середины апреля. Частые циклоны вызывают сильные ветры и метели. При ясной тихой погоде морозы могут доходить до -50ºС, а вторжения атлантического воздуха вызывают резкие потепления. Продолжительность отопительного периода 219 дней. Максимальная глубина промерзания почвы 200-220 см.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Короткая и сухая весна с преобладанием ясной и ветреной погоды с частыми возвратами холодов. Быстрое стаивание снежного покрова и усиление ветра ведет к сильному иссушению почвы, вследствие чего весной и в начале лета часто бывают засухи и суховеи.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Лето теплое, длится около 4-х месяцев. Ветровой режим ослабевает во второй половине сезона, когда выпадает основная часть годовых осадков, которые имеют характер сильных ливней, сопровождающихся грозами.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Осень непродолжительная и солнечная, с малым количеством осадков. Суровые зимние условия требуют максимальной теплоизоляции зданий. Летом рекомендуются солнцезащитные мероприятия и интенсивное озеленение селитебных территорий.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Приход суммарной радиации составляет 110-111 ккал на см² за год с максимумом в июне-июле (16-17 ккал/см²) и минимумом в декабре (1-2 ккал/см²). Среднегодовая температура воздуха 11ºС. Самая низкая температура - 17,7ºС. Абсолютный минимум - 52ºС. Средне-июльская температура 19,7ºС, абсолютный максимум составляет 38ºС. Период активной вегетации из-за поздних весенних и ранних заморозков короткий, не более 4-х месяцев.  </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Режим увлажнения.</w:t>
      </w:r>
      <w:r>
        <w:rPr>
          <w:rFonts w:ascii="Times New Roman" w:hAnsi="Times New Roman"/>
          <w:sz w:val="24"/>
          <w:szCs w:val="24"/>
        </w:rPr>
        <w:t xml:space="preserve"> Район города относится к зоне с умеренным увлажнением. За год выпадает 495 мм осадков, из которых 65% приходится на теплый период. Снежный покров устанавливается в начале ноября и лежит до начала апреля, достигая за зиму в среднем 39 см высоты.</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Ветровой режим.</w:t>
      </w:r>
      <w:r>
        <w:rPr>
          <w:rFonts w:ascii="Times New Roman" w:hAnsi="Times New Roman"/>
          <w:sz w:val="24"/>
          <w:szCs w:val="24"/>
        </w:rPr>
        <w:t xml:space="preserve"> На территории города в течение всего года, особенно в зимний период, преобладают юго-западные ветры. В теплый период велика повторяемость западных и северо-восточных направлений ветров. Наибольшая скорость ветра в начале зимы и весной (40-45 м/ сек), наименьшая летом – (2,5-3,0 м/сек). Среднегодовая скорость ветра 36 м/сек. По условиям ветрового режима требуется защита путей сообщения и селитебных территорий от снежных заносов, загрязнения атмосферы от выбросов промышленных предприятий планировочными и технологическими методами.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территории города часто наблюдаются такие неблагоприятные явления погоды, как туманы и метели. Туманы отмечаются преимущественно в холодный период. Это объясняется расположением города на берегу крупной реки. Зимой повторяемость температур ниже -30ºС и скорости ветра выше 15 м/сек составляет 1%.</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Орография</w:t>
      </w:r>
      <w:r>
        <w:rPr>
          <w:rFonts w:ascii="Times New Roman" w:hAnsi="Times New Roman"/>
          <w:sz w:val="24"/>
          <w:szCs w:val="24"/>
        </w:rPr>
        <w:t>. Город Новоалтайск расположен в восточной части Западно-Сибирской низменности. В геоморфологическом отношении он находится в пределах долины реки Оби, прорезанной долинами малых рек (Чесноковка, Малая и Большая Черемшанки). В долине реки Оби выделяется пойма и вторая надпойменная терраса. Пойменная терраса имеет ограниченное распространение на западной окраине города. Поверхность ее плоская, осложненная старицами и местными заболоченными понижениями. Абсолютные отметки поверхности изменяются от 131,3 до 133,7 метров.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Вторая надпойменная терраса занимает большую часть города. Поверхность ее равнинная, осложненная многочисленными золовыми всхолмлениями, дюнами и грядами, высотой до 11 метров. Эти понижения часто заболочены или заняты озерами. Абсолютные отметки поверхности террасы 135,0 - 160,2 метра. Терраса круто обрывается к пойме. Высота уступа достигает 3,0 - 13,0 метров. Долина реки Чесноковки прорезает центральную часть города. Ширина ее составляет 75,0 - 425,0 метров. На восточной окраине города выделяется древняя долина этой реки шириной 25,0 - 400,0 метров и более. В северной части города прослеживаются долины рек Малой и Большой Черемшанок. В долинах малых рек выделяется пойменная терраса, высотой 0,5 - 2,5 метров, а на отдельных участках высотой до 5,0 метров.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Пойма реки Оби и пониженные места первых надпойменных террас   малых рек затопляются до отметки 136,10 БС при наивысшем уровне воды 1% малой обеспеченности.</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Геология</w:t>
      </w:r>
      <w:r>
        <w:rPr>
          <w:rFonts w:ascii="Times New Roman" w:hAnsi="Times New Roman"/>
          <w:sz w:val="24"/>
          <w:szCs w:val="24"/>
        </w:rPr>
        <w:t xml:space="preserve">. В геологическом отношении район города находится в юго-восточной части Кулундинской впадины. В геологическом строении района принимают участие коренные породы и четвертичные образования. Коренные породы состоят из пород палеозойского фундамента и отложений третичного возраста. Породы палеозойского фундамента залегают на глубине 210,0 - 250,0 метров и более от поверхности. В верхней зоне представлены они аргиллитами, алевролитами, выветренными сланцами и туфами.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Третичные отложения (палеогена и неогена) находятся на глубине 29,0 - 65,0 метров от поверхности. Представлены они песчано-глинистыми осадками с отдельными линзами галечников. Общая мощность их составляет 140,0 - 175,0 метров. Четвертичные образования представлены средне четвертичными отложениями монастырской свиты, верхнечетвертичными аллювиальными отложениями второй надпойменной террасы реки Оби, верхнечетвертичными современными золовыми отложениями, а также современными аллювиальными отложениями пойм реки Оби и ее притоков, а также озерно-болотными отложениями.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Отложения монастырской свиты имеют сплошное распространение. Кровля их находится на глубине 14,0 - 42,0 метров от поверхности в пределах пойм малых рек. Представлены они песками с линзами суглинков и глин. Общая мощность отложений 20,0 - 38,0 метров.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Верхнечетвертичные аллювиальные отложения слагают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42,0 метров.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Мощность покровных супесей и суглинков обычно не превышает 3,0 - 7,0 метров.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4,0 - 8,0 метра.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Озерно-болотные отложения распространены на заболоченных участках второй надпойменной террасы. Они представлены торфом мощностью до 0,2 - 2,0 метра, заиленными супесями и суглинками мощностью до 3,0 метров. Кроме этого, на территории города имеются техногенные образования - насыпные грунты, которые имеют широкое распространение в пределах железных и автомобильных дорог.</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 заключению Территориального агентства по недропользованию по Алтайскому краю «Алтайнедра» № 14-11-104 от 19.02.2007 года месторождений твердых полезных ископаемых с утвержденными запасами на территории МО не установлено.</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Гидрология.</w:t>
      </w:r>
      <w:r>
        <w:rPr>
          <w:rFonts w:ascii="Times New Roman" w:hAnsi="Times New Roman"/>
          <w:sz w:val="24"/>
          <w:szCs w:val="24"/>
        </w:rPr>
        <w:t xml:space="preserve"> Город Новоалтайск расположен в пределах восточной части Кулундинско - Барнаульского артезианского бассейна. Гидрологические условия района характеризуются наличием водоносных горизонтов в четвертичных образованиях и третичных отложениях.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озерно-болотных отложениях развиты грунтовые воды, приуроченные к заиленным супесям и торфу. Воды эти залегают на глубине менее 2,0м от поверхности на глубине до 1,0м. Водоносный горизонт аллювиальных отложений и отложений монастырской свиты имеет почти повсеместное распространение и рассматривается как единый водоносный комплекс.</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2,0 метра в пределах пойм рек, а также в пределах второй надпойменной террасы на глубине от 2,0 до 12,0 метров и на глубине 15,0 - 20,0 метров и более. Мощность водосодержащих пород изменяется от 3,0 до 52,0 метров. По данным химических проб верхней зоны водоносного горизонта,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четвертичных отложений возможно возникновение вод типа «верховодка» с глубиной залегания, преимущественно менее 2,0 метров от поверхности.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 Эксплуатируются грунтовые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 суглинки и глины. Подземные воды третичных отложений в районе города находятся в условиях нарушенного режима под влиянием эксплуатации мощных водозаборов города Барнаула и Новоалтайска.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Питание пресных умеренно жестких вод осуществляется за счет грунтовых вод четвертичных образований и подтока с сопредельных территорий. Большинство водоносных горизонтов эксплуатируется для целей хозяйственно-питьевого водоснабжения с помощью одиночных скважин и групповых водозаборов. Запасы подземных вод основных водоносных горизонтов в районе г. Новоалтайска утверждены протоколом 7765 от 24.12.1976 года в количестве 45 тыс. м³/сутки. Запасы подземных вод основных водоносных горизонтов имеют водопроводимость 100-300 м³/сутки, коэффициент фильтрации песков 4,5-11,3 м³/сутки, активную пористость–0,1. Качество этих вод соответствует требованиям, предъявляемым к питьевым водам за исключением содержания железа и марганца.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результате интенсивной продолжительной эксплуатации подземных вод образовались единые области депрессии, объединяющие два города: Барнаул и Новоалтайск.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Характеристика водных объектов:</w:t>
      </w:r>
    </w:p>
    <w:p>
      <w:pPr>
        <w:pStyle w:val="ListParagraph"/>
        <w:numPr>
          <w:ilvl w:val="0"/>
          <w:numId w:val="3"/>
        </w:numPr>
        <w:spacing w:lineRule="auto" w:line="240" w:before="0" w:after="0"/>
        <w:contextualSpacing/>
        <w:jc w:val="both"/>
        <w:rPr>
          <w:rFonts w:ascii="Times New Roman" w:hAnsi="Times New Roman"/>
          <w:sz w:val="24"/>
          <w:szCs w:val="24"/>
        </w:rPr>
      </w:pPr>
      <w:r>
        <w:rPr>
          <w:rFonts w:ascii="Times New Roman" w:hAnsi="Times New Roman"/>
          <w:sz w:val="24"/>
          <w:szCs w:val="24"/>
        </w:rPr>
        <w:t>Река Обь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Образуется от слияния рек Бии и Катуни, в районе города Новоалтайска протекает своим верхним течением. Долина реки пойменная, трапецеидальная.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Пойма: правобережная, шириной 6,0-10,0 метров, изрезана старицами и протоками, наибольшая из которых – Старая Обь – подходит к северной части селитебных территорий города. Старая Обь имеет ширину 100,0 - 150,0 метров, глубину 0,5 - 2,0 метра и скорость течения 0,2 м/сек.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Оби подъем уровней начинается в середине апреля, еще при ледоставе и продолжается до июля – августа. Наивысшие уровни наблюдаются в мае. Превышение уровней весеннего половодья достигает 8,0 метров.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Осенний ледостав на Оби начинается в начале ноября, крайние сроки 17 октября – 20 ноября. Устойчивый ледостав образуется через 8-10 дней. Продолжительность ледостава в среднем 160 дней, при крайних значениях 140-180 дней. Вскрывается Обь в среднем 21 апреля, ранний срок вскрытия реки - 8 апреля, поздний – 8 мая. Весенний ледоход продолжается от 1 до 10 дней. Наибольшей толщины ледяной покров достигает к концу марта и составляет 75,0 - 95,0 см/</w:t>
      </w:r>
    </w:p>
    <w:p>
      <w:pPr>
        <w:pStyle w:val="Normal"/>
        <w:spacing w:lineRule="auto" w:line="240" w:before="0" w:after="0"/>
        <w:ind w:firstLine="567"/>
        <w:jc w:val="both"/>
        <w:rPr>
          <w:rFonts w:ascii="Times New Roman" w:hAnsi="Times New Roman"/>
          <w:sz w:val="24"/>
          <w:szCs w:val="24"/>
          <w:lang w:val="en-US"/>
        </w:rPr>
      </w:pPr>
      <w:r>
        <w:rPr>
          <w:rFonts w:ascii="Times New Roman" w:hAnsi="Times New Roman"/>
          <w:sz w:val="24"/>
          <w:szCs w:val="24"/>
        </w:rPr>
        <w:t>Химический состав речной воды гидрокарбонатно-кальциевый, минерализация Оби составляет 120 - 140 мг/литр. Общая жесткость наиболее выражена в конце зимы и составляет 2,5 - 2,7 мг-эквивалент/литр. Агрессивность воды составляет 0-4,5 мг СО2</w:t>
      </w:r>
      <w:r>
        <w:rPr>
          <w:rFonts w:ascii="Times New Roman" w:hAnsi="Times New Roman"/>
          <w:sz w:val="24"/>
          <w:szCs w:val="24"/>
          <w:lang w:val="en-US"/>
        </w:rPr>
        <w:t>/</w:t>
      </w:r>
    </w:p>
    <w:p>
      <w:pPr>
        <w:pStyle w:val="ListParagraph"/>
        <w:numPr>
          <w:ilvl w:val="0"/>
          <w:numId w:val="3"/>
        </w:numPr>
        <w:spacing w:lineRule="auto" w:line="240" w:before="0" w:after="0"/>
        <w:contextualSpacing/>
        <w:jc w:val="both"/>
        <w:rPr>
          <w:rFonts w:ascii="Times New Roman" w:hAnsi="Times New Roman"/>
          <w:sz w:val="24"/>
          <w:szCs w:val="24"/>
        </w:rPr>
      </w:pPr>
      <w:r>
        <w:rPr>
          <w:rFonts w:ascii="Times New Roman" w:hAnsi="Times New Roman"/>
          <w:sz w:val="24"/>
          <w:szCs w:val="24"/>
        </w:rPr>
        <w:t>Река Чесноковка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Протекает по городу с северо-востока на юго-запад, у железнодорожного моста круто поворачивает на юг и впадает в протоку Оби – Старую Обь. Длина реки 72,0 км, площадь водосбора 377,0 кв.км.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Пойма: преимущественно правобережная, на нижнем участке слилась с поймой реки Оби. Русло реки сильно меандрирует, подмывая берега. Глубина реки в межень 0,6 - 0,7 метров, ширина русла 12,0 - 20,0 метров, скорость течения 0,3 - 0,4 м/сек.</w:t>
      </w:r>
    </w:p>
    <w:p>
      <w:pPr>
        <w:pStyle w:val="Normal"/>
        <w:spacing w:lineRule="auto" w:line="240" w:before="0" w:after="0"/>
        <w:ind w:firstLine="567"/>
        <w:jc w:val="both"/>
        <w:rPr>
          <w:rFonts w:ascii="Times New Roman" w:hAnsi="Times New Roman" w:eastAsia="Batang"/>
          <w:sz w:val="24"/>
          <w:szCs w:val="24"/>
        </w:rPr>
      </w:pPr>
      <w:r>
        <w:rPr>
          <w:rFonts w:eastAsia="Batang" w:ascii="Times New Roman" w:hAnsi="Times New Roman"/>
          <w:sz w:val="24"/>
          <w:szCs w:val="24"/>
        </w:rPr>
        <w:t>Истоки реки расположены на юго-западных отрогах Бийско-Чумышской возвышенности, к юго-востоку от ст. Шпагино вблизи пос. Загонный. Левый склон долины крутой, обрывистый, зато правый склон большей частью пологий. Вода в реке гидрокарбонатно-кальциевая, мягкая. PH воды в пределах 8 (0,000001 моль/л), вода заметно окрашена, весной слабо-желтоватая. Антропогенное загрязнение реки довольно высокое. Значительная загрязненность реки нефтепродуктами по всему руслу – это результат загрязнения ее водосборной площади и поймы стоками картонно-рубероидного завода, а также из-за мойки машин.</w:t>
      </w:r>
    </w:p>
    <w:p>
      <w:pPr>
        <w:pStyle w:val="ListParagraph"/>
        <w:numPr>
          <w:ilvl w:val="0"/>
          <w:numId w:val="3"/>
        </w:numPr>
        <w:spacing w:lineRule="auto" w:line="240" w:before="0" w:after="0"/>
        <w:contextualSpacing/>
        <w:jc w:val="both"/>
        <w:rPr>
          <w:rFonts w:ascii="Times New Roman" w:hAnsi="Times New Roman"/>
          <w:sz w:val="24"/>
          <w:szCs w:val="24"/>
        </w:rPr>
      </w:pPr>
      <w:r>
        <w:rPr>
          <w:rFonts w:ascii="Times New Roman" w:hAnsi="Times New Roman"/>
          <w:sz w:val="24"/>
          <w:szCs w:val="24"/>
        </w:rPr>
        <w:t>Река Черемшанка (р. Большая и р. Малая Черемшанки)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 территории города р. Черемшанка протекает с севера на юг. Длина реки 54,0 км, площадь водосбора 717,0 кв.км. Ширина долины изменяется от 1,0 до 3,0 км. Склоны долины пологие, русло реки также сильно меандрирует. Берега преимущественно крутые. Скорость течения в межень 0,2 м/сек. Малая Черемшанка – левобережный приток Большой Черемшанки. Длина реки 54,0 км, площадь водосбора 281,0 кв.км.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питании рек участвуют талые воды сезонных и высокогорных снегов, жидкие осадки и подземные воды. Доля снегового питания до 75%.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Чесноковке и Черемшанке весенний подъем уровней начинается обычно в середине апреля. Превышение наивысших уровней весеннего половодья    составляет 3,0-3,5 метров. В суровые и маловодные годы река промерзает до дна.</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 xml:space="preserve">Характеристика почв. </w:t>
      </w:r>
      <w:r>
        <w:rPr>
          <w:rFonts w:ascii="Times New Roman" w:hAnsi="Times New Roman"/>
          <w:sz w:val="24"/>
          <w:szCs w:val="24"/>
        </w:rPr>
        <w:t>В городе Новоалтайск распространены пойменные луговые почвы и темно-серые, лесные почвы. Луговые черноземные почвы по строению профиля сходны с черноземами обыкновенными, но нижняя часть профиля у них оглеена. Гумусный горизонт А – темно-серый, близкий к черному, зернистый и рассыпчатый. Переходный горизонт А – В с серовато-бурыми гумусными затеками. Мощность прокраски сильно колеблется от 20 до 55- 60 см. Содержание гумуса 7,5-13,2%. По многочисленным березово-осиновым колкам формируются серые лесные осолоделые почвы и солоди. Механический состав верхних горизонтов этих почв колеблется от супесчаного до суглинистого. Для профиля темно серых лесных почв характерна нечетная дифференциация и наличие ряда переходных горизонтов А1, А1-А2, А2-В, В1-ВК и СК. Глубина залегания горизонта ВК составляет от 108 до 115 см. Верхняя гумусированная часть профиля (А1, А1-А2, А2-В) характеризуется белесоватостью от обилия кремнеземистой присыпки. Содержание гумуса у темно серых лесных почв горизонта А1 составляет 4,9-6,1%. Механический состав темно серых лесных почв – среднесуглинистый. На участках земель перераспределения, расположенных в границах земель населенного пункта, начиная с 1978 года, согласно справке Администрации города, ртуть содержащие препараты, в том числе гексохлоран не применялись.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данных территориях ОАО «АлтайТИСИЗ» выполнил радиационно – экологические работы. Результаты исследования показали, что значения гамма-излучения и плотности потока радона на данной территории не превышают допустимых значений, установленных нормативными документами – СП 2.6.1.799-99, ОСПОРБ-99 (Экспертное Заключение № от года). «Центр гигиены и эпидемиологии в Алтайском крае» Аккредитованный Испытательный лабораторный центр выполнил количественный химический анализ на токсические элементы (медь, цинк, свинец, кадмий, никель), пестициды и гексахлоран, энтомологические, паразитологические и микробиологические исследования. Пробы почв по бактериологическим, паразитологическим и энтомологическим показателям соответствуют СанПиН 2.1.7.1287-03; По концентрации тяжелых металлов соответствуют ГН 2.1.7.020-94 «Ориентировочно допустимые концентрации (ОДК) тяжелых металлов и мышьяка в почвах (Дополнение №1 к перечню ПДК и ОДК №6229-91)»; По содержанию определяемых остаточных количеств пестицидов соответствует ГН 1.2.1323-03; По радиационной безопасности соответствуют требованиям СП 2.6.1.799-99 «Основные санитарные правила обеспечения радиационной безопасности ОСПОРБ-99».</w:t>
      </w:r>
    </w:p>
    <w:p>
      <w:pPr>
        <w:pStyle w:val="2"/>
        <w:numPr>
          <w:ilvl w:val="0"/>
          <w:numId w:val="0"/>
        </w:numPr>
        <w:spacing w:before="0" w:after="0"/>
        <w:ind w:left="0" w:firstLine="567"/>
        <w:jc w:val="both"/>
        <w:rPr>
          <w:sz w:val="24"/>
          <w:szCs w:val="24"/>
        </w:rPr>
      </w:pPr>
      <w:bookmarkStart w:id="31" w:name="_Toc142575253"/>
      <w:bookmarkStart w:id="32" w:name="_Toc135662172"/>
      <w:r>
        <w:rPr>
          <w:sz w:val="24"/>
          <w:szCs w:val="24"/>
        </w:rPr>
        <w:t>2.3. Комплексная оценка и информация об основных проблемах развития территории городского округа</w:t>
      </w:r>
      <w:bookmarkEnd w:id="31"/>
      <w:bookmarkEnd w:id="32"/>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Согласно данным Федеральной службы государственной статистики (РОССТАТ), численность населения города Новоалтайска на начало 2020 года составляет 74 556 человек (см. Таблица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1</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spacing w:lineRule="auto" w:line="276"/>
        <w:ind w:left="0" w:firstLine="709"/>
        <w:jc w:val="both"/>
        <w:rPr/>
      </w:pPr>
      <w:r>
        <w:rPr/>
        <w:t>Численность и плотность населения МО городского округа город Новоалтайск на 01.01.2020</w:t>
      </w:r>
    </w:p>
    <w:tbl>
      <w:tblPr>
        <w:tblW w:w="9350" w:type="dxa"/>
        <w:jc w:val="left"/>
        <w:tblInd w:w="0" w:type="dxa"/>
        <w:tblLayout w:type="fixed"/>
        <w:tblCellMar>
          <w:top w:w="0" w:type="dxa"/>
          <w:left w:w="108" w:type="dxa"/>
          <w:bottom w:w="0" w:type="dxa"/>
          <w:right w:w="108" w:type="dxa"/>
        </w:tblCellMar>
        <w:tblLook w:val="00a0"/>
      </w:tblPr>
      <w:tblGrid>
        <w:gridCol w:w="566"/>
        <w:gridCol w:w="4291"/>
        <w:gridCol w:w="2373"/>
        <w:gridCol w:w="2119"/>
      </w:tblGrid>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 xml:space="preserve">№ </w:t>
            </w:r>
            <w:r>
              <w:rPr>
                <w:sz w:val="20"/>
                <w:szCs w:val="20"/>
              </w:rPr>
              <w:t>п</w:t>
            </w:r>
            <w:r>
              <w:rPr>
                <w:sz w:val="20"/>
                <w:szCs w:val="20"/>
                <w:lang w:val="en-US"/>
              </w:rPr>
              <w:t>/</w:t>
            </w:r>
            <w:r>
              <w:rPr>
                <w:sz w:val="20"/>
                <w:szCs w:val="20"/>
              </w:rPr>
              <w:t>п</w:t>
            </w:r>
          </w:p>
        </w:tc>
        <w:tc>
          <w:tcPr>
            <w:tcW w:w="4291"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Наименование</w:t>
            </w:r>
          </w:p>
        </w:tc>
        <w:tc>
          <w:tcPr>
            <w:tcW w:w="237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Численность населения, чел.</w:t>
            </w:r>
          </w:p>
        </w:tc>
        <w:tc>
          <w:tcPr>
            <w:tcW w:w="2119"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Плотность населения, чел.</w:t>
            </w:r>
            <w:r>
              <w:rPr>
                <w:sz w:val="20"/>
                <w:szCs w:val="20"/>
                <w:lang w:val="en-US"/>
              </w:rPr>
              <w:t>/</w:t>
            </w:r>
            <w:r>
              <w:rPr>
                <w:sz w:val="20"/>
                <w:szCs w:val="20"/>
              </w:rPr>
              <w:t>га</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w:t>
            </w:r>
          </w:p>
        </w:tc>
        <w:tc>
          <w:tcPr>
            <w:tcW w:w="4291"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Городской округ город Новоалтайск</w:t>
            </w:r>
          </w:p>
        </w:tc>
        <w:tc>
          <w:tcPr>
            <w:tcW w:w="237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74 556</w:t>
            </w:r>
          </w:p>
        </w:tc>
        <w:tc>
          <w:tcPr>
            <w:tcW w:w="2119"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9,38</w:t>
            </w:r>
          </w:p>
        </w:tc>
      </w:tr>
    </w:tbl>
    <w:p>
      <w:pPr>
        <w:pStyle w:val="Normal"/>
        <w:ind w:firstLine="567"/>
        <w:jc w:val="both"/>
        <w:rPr>
          <w:rFonts w:ascii="Times New Roman" w:hAnsi="Times New Roman"/>
          <w:sz w:val="24"/>
          <w:szCs w:val="24"/>
        </w:rPr>
      </w:pPr>
      <w:r>
        <w:rPr>
          <w:rFonts w:ascii="Times New Roman" w:hAnsi="Times New Roman"/>
          <w:sz w:val="24"/>
          <w:szCs w:val="24"/>
        </w:rPr>
      </w:r>
    </w:p>
    <w:p>
      <w:pPr>
        <w:pStyle w:val="Normal"/>
        <w:ind w:firstLine="567"/>
        <w:jc w:val="both"/>
        <w:rPr>
          <w:rFonts w:ascii="Times New Roman" w:hAnsi="Times New Roman"/>
          <w:sz w:val="24"/>
          <w:szCs w:val="24"/>
        </w:rPr>
      </w:pPr>
      <w:r>
        <w:rPr>
          <w:rFonts w:ascii="Times New Roman" w:hAnsi="Times New Roman"/>
          <w:sz w:val="24"/>
          <w:szCs w:val="24"/>
        </w:rPr>
        <w:t>Динамику изменения численности населения в городского округа город Новоалтайск за последние 10 лет можно отследить на Рисунке 1.</w:t>
      </w:r>
    </w:p>
    <w:tbl>
      <w:tblPr>
        <w:tblW w:w="9345" w:type="dxa"/>
        <w:jc w:val="left"/>
        <w:tblInd w:w="0" w:type="dxa"/>
        <w:tblLayout w:type="fixed"/>
        <w:tblCellMar>
          <w:top w:w="0" w:type="dxa"/>
          <w:left w:w="108" w:type="dxa"/>
          <w:bottom w:w="0" w:type="dxa"/>
          <w:right w:w="108" w:type="dxa"/>
        </w:tblCellMar>
        <w:tblLook w:val="00a0"/>
      </w:tblPr>
      <w:tblGrid>
        <w:gridCol w:w="9345"/>
      </w:tblGrid>
      <w:tr>
        <w:trPr/>
        <w:tc>
          <w:tcPr>
            <w:tcW w:w="9345" w:type="dxa"/>
            <w:tcBorders/>
          </w:tcPr>
          <w:p>
            <w:pPr>
              <w:pStyle w:val="Normal"/>
              <w:widowControl w:val="false"/>
              <w:spacing w:lineRule="auto" w:line="240" w:before="0" w:after="0"/>
              <w:jc w:val="center"/>
              <w:rPr>
                <w:rFonts w:ascii="Times New Roman" w:hAnsi="Times New Roman"/>
                <w:sz w:val="24"/>
                <w:szCs w:val="24"/>
              </w:rPr>
            </w:pPr>
            <w:r>
              <w:rPr/>
              <mc:AlternateContent>
                <mc:Choice Requires="wps">
                  <w:drawing>
                    <wp:inline distT="0" distB="0" distL="0" distR="0">
                      <wp:extent cx="4648835" cy="2762885"/>
                      <wp:effectExtent l="0" t="0" r="0" b="0"/>
                      <wp:docPr id="4" name="Рисунок 3"/>
                      <a:graphic xmlns:a="http://schemas.openxmlformats.org/drawingml/2006/main">
                        <a:graphicData uri="http://schemas.openxmlformats.org/drawingml/2006/picture">
                          <pic:pic xmlns:pic="http://schemas.openxmlformats.org/drawingml/2006/picture">
                            <pic:nvPicPr>
                              <pic:cNvPr id="0" name="Рисунок 3" descr=""/>
                              <pic:cNvPicPr/>
                            </pic:nvPicPr>
                            <pic:blipFill>
                              <a:blip r:embed="rId4"/>
                              <a:srcRect l="2195" t="10054" r="2234" b="12503"/>
                              <a:stretch/>
                            </pic:blipFill>
                            <pic:spPr>
                              <a:xfrm>
                                <a:off x="0" y="0"/>
                                <a:ext cx="4648320" cy="276228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3" stroked="f" style="position:absolute;margin-left:0pt;margin-top:-217.55pt;width:365.95pt;height:217.45pt;mso-wrap-style:none;v-text-anchor:middle;mso-position-vertical:top" type="shapetype_75">
                      <v:imagedata r:id="rId4" o:detectmouseclick="t"/>
                      <v:stroke color="#3465a4" joinstyle="round" endcap="flat"/>
                      <w10:wrap type="none"/>
                    </v:shape>
                  </w:pict>
                </mc:Fallback>
              </mc:AlternateContent>
            </w:r>
          </w:p>
        </w:tc>
      </w:tr>
      <w:tr>
        <w:trPr/>
        <w:tc>
          <w:tcPr>
            <w:tcW w:w="9345" w:type="dxa"/>
            <w:tcBorders/>
          </w:tcPr>
          <w:p>
            <w:pPr>
              <w:pStyle w:val="Normal"/>
              <w:widowControl w:val="false"/>
              <w:spacing w:lineRule="auto" w:line="240" w:before="0" w:after="0"/>
              <w:jc w:val="center"/>
              <w:rPr>
                <w:rFonts w:ascii="Times New Roman" w:hAnsi="Times New Roman"/>
                <w:i/>
                <w:i/>
                <w:iCs/>
                <w:sz w:val="24"/>
                <w:szCs w:val="24"/>
              </w:rPr>
            </w:pPr>
            <w:r>
              <w:rPr>
                <w:rFonts w:ascii="Times New Roman" w:hAnsi="Times New Roman"/>
                <w:i/>
                <w:iCs/>
                <w:sz w:val="24"/>
                <w:szCs w:val="24"/>
              </w:rPr>
              <w:t>Рис. 1 – Изменение численности населения Новоалтайска</w:t>
            </w:r>
          </w:p>
        </w:tc>
      </w:tr>
    </w:tbl>
    <w:p>
      <w:pPr>
        <w:pStyle w:val="Normal"/>
        <w:jc w:val="both"/>
        <w:rPr>
          <w:rFonts w:ascii="Times New Roman" w:hAnsi="Times New Roman"/>
          <w:i/>
          <w:i/>
          <w:iCs/>
          <w:sz w:val="24"/>
          <w:szCs w:val="24"/>
        </w:rPr>
      </w:pPr>
      <w:r>
        <w:rPr>
          <w:rFonts w:ascii="Times New Roman" w:hAnsi="Times New Roman"/>
          <w:i/>
          <w:iCs/>
          <w:sz w:val="24"/>
          <w:szCs w:val="24"/>
        </w:rPr>
      </w:r>
    </w:p>
    <w:p>
      <w:pPr>
        <w:pStyle w:val="Normal"/>
        <w:spacing w:lineRule="auto" w:line="240"/>
        <w:ind w:firstLine="567"/>
        <w:jc w:val="both"/>
        <w:rPr>
          <w:rFonts w:ascii="Times New Roman" w:hAnsi="Times New Roman"/>
          <w:sz w:val="24"/>
          <w:szCs w:val="24"/>
        </w:rPr>
      </w:pPr>
      <w:r>
        <w:rPr>
          <w:rFonts w:ascii="Times New Roman" w:hAnsi="Times New Roman"/>
          <w:sz w:val="24"/>
          <w:szCs w:val="24"/>
        </w:rPr>
        <w:t xml:space="preserve">Несмотря на общую тенденцию снижения численности населения в Алтайском крае, в Новоалтайске наблюдается его рост, обусловленный миграционным приростом. Данной ситуации способствует реализация госпрограммы Алтайского края «Оказание содействия добровольному переселению в Алтайский край соотечественников, проживающих за рубежом». Динамика населения в г. Новоалтайске по данным РОССТАТ по Алтайскому краю представлена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2</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spacing w:lineRule="auto" w:line="276"/>
        <w:rPr/>
      </w:pPr>
      <w:r>
        <w:rPr/>
        <w:t>Мониторинг динамики населения в г. Новоалтайске</w:t>
      </w:r>
    </w:p>
    <w:tbl>
      <w:tblPr>
        <w:tblW w:w="9345" w:type="dxa"/>
        <w:jc w:val="left"/>
        <w:tblInd w:w="0" w:type="dxa"/>
        <w:tblLayout w:type="fixed"/>
        <w:tblCellMar>
          <w:top w:w="0" w:type="dxa"/>
          <w:left w:w="108" w:type="dxa"/>
          <w:bottom w:w="0" w:type="dxa"/>
          <w:right w:w="108" w:type="dxa"/>
        </w:tblCellMar>
        <w:tblLook w:val="00a0"/>
      </w:tblPr>
      <w:tblGrid>
        <w:gridCol w:w="701"/>
        <w:gridCol w:w="2837"/>
        <w:gridCol w:w="1276"/>
        <w:gridCol w:w="1277"/>
        <w:gridCol w:w="1133"/>
        <w:gridCol w:w="1135"/>
        <w:gridCol w:w="985"/>
      </w:tblGrid>
      <w:tr>
        <w:trPr>
          <w:tblHeader w:val="true"/>
        </w:trPr>
        <w:tc>
          <w:tcPr>
            <w:tcW w:w="701" w:type="dxa"/>
            <w:vMerge w:val="restart"/>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 xml:space="preserve">№ </w:t>
            </w:r>
            <w:r>
              <w:rPr>
                <w:sz w:val="20"/>
                <w:szCs w:val="20"/>
              </w:rPr>
              <w:t>п</w:t>
            </w:r>
            <w:r>
              <w:rPr>
                <w:sz w:val="20"/>
                <w:szCs w:val="20"/>
                <w:lang w:val="en-US"/>
              </w:rPr>
              <w:t>/</w:t>
            </w:r>
            <w:r>
              <w:rPr>
                <w:sz w:val="20"/>
                <w:szCs w:val="20"/>
              </w:rPr>
              <w:t>п</w:t>
            </w:r>
          </w:p>
        </w:tc>
        <w:tc>
          <w:tcPr>
            <w:tcW w:w="2837" w:type="dxa"/>
            <w:vMerge w:val="restart"/>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Показатели</w:t>
            </w:r>
          </w:p>
        </w:tc>
        <w:tc>
          <w:tcPr>
            <w:tcW w:w="5806" w:type="dxa"/>
            <w:gridSpan w:val="5"/>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Год</w:t>
            </w:r>
          </w:p>
        </w:tc>
      </w:tr>
      <w:tr>
        <w:trPr>
          <w:tblHeader w:val="true"/>
        </w:trPr>
        <w:tc>
          <w:tcPr>
            <w:tcW w:w="701" w:type="dxa"/>
            <w:vMerge w:val="continue"/>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r>
          </w:p>
        </w:tc>
        <w:tc>
          <w:tcPr>
            <w:tcW w:w="2837" w:type="dxa"/>
            <w:vMerge w:val="continue"/>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2015</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2016</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2017</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2018</w:t>
            </w:r>
          </w:p>
        </w:tc>
        <w:tc>
          <w:tcPr>
            <w:tcW w:w="98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2019</w:t>
            </w:r>
          </w:p>
        </w:tc>
      </w:tr>
      <w:tr>
        <w:trPr/>
        <w:tc>
          <w:tcPr>
            <w:tcW w:w="701"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w:t>
            </w:r>
          </w:p>
        </w:tc>
        <w:tc>
          <w:tcPr>
            <w:tcW w:w="283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360" w:hanging="360"/>
              <w:jc w:val="left"/>
              <w:rPr>
                <w:sz w:val="20"/>
                <w:szCs w:val="20"/>
              </w:rPr>
            </w:pPr>
            <w:r>
              <w:rPr>
                <w:sz w:val="20"/>
                <w:szCs w:val="20"/>
              </w:rPr>
              <w:t>Естественный прирост, убыль (-) населения (чел.)</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67</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34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-173</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-194</w:t>
            </w:r>
          </w:p>
        </w:tc>
        <w:tc>
          <w:tcPr>
            <w:tcW w:w="98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-311</w:t>
            </w:r>
          </w:p>
        </w:tc>
      </w:tr>
      <w:tr>
        <w:trPr/>
        <w:tc>
          <w:tcPr>
            <w:tcW w:w="701"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2</w:t>
            </w:r>
          </w:p>
        </w:tc>
        <w:tc>
          <w:tcPr>
            <w:tcW w:w="283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Миграционный прирост, убыль (-) населения (чел.)</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759</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544</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524</w:t>
            </w:r>
          </w:p>
        </w:tc>
        <w:tc>
          <w:tcPr>
            <w:tcW w:w="98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1098</w:t>
            </w:r>
          </w:p>
        </w:tc>
      </w:tr>
      <w:tr>
        <w:trPr/>
        <w:tc>
          <w:tcPr>
            <w:tcW w:w="701"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3</w:t>
            </w:r>
          </w:p>
        </w:tc>
        <w:tc>
          <w:tcPr>
            <w:tcW w:w="283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Коэффициент демографической нагрузки*</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769,8</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795,0</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820,2</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837,3</w:t>
            </w:r>
          </w:p>
        </w:tc>
        <w:tc>
          <w:tcPr>
            <w:tcW w:w="985"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799,3</w:t>
            </w:r>
          </w:p>
        </w:tc>
      </w:tr>
      <w:tr>
        <w:trPr/>
        <w:tc>
          <w:tcPr>
            <w:tcW w:w="9344" w:type="dxa"/>
            <w:gridSpan w:val="7"/>
            <w:tcBorders>
              <w:top w:val="single" w:sz="4" w:space="0" w:color="000000"/>
            </w:tcBorders>
          </w:tcPr>
          <w:p>
            <w:pPr>
              <w:pStyle w:val="Style52"/>
              <w:widowControl w:val="false"/>
              <w:numPr>
                <w:ilvl w:val="0"/>
                <w:numId w:val="0"/>
              </w:numPr>
              <w:spacing w:lineRule="auto" w:line="240"/>
              <w:ind w:left="360" w:hanging="360"/>
              <w:jc w:val="left"/>
              <w:rPr>
                <w:sz w:val="20"/>
                <w:szCs w:val="20"/>
              </w:rPr>
            </w:pPr>
            <w:r>
              <w:rPr>
                <w:sz w:val="20"/>
                <w:szCs w:val="20"/>
              </w:rPr>
              <w:t>*на 1 января; на 1000 человек трудоспособного возраста приходится лиц нетрудоспособных возрастов</w:t>
            </w:r>
          </w:p>
        </w:tc>
      </w:tr>
    </w:tbl>
    <w:p>
      <w:pPr>
        <w:pStyle w:val="Style52"/>
        <w:numPr>
          <w:ilvl w:val="0"/>
          <w:numId w:val="0"/>
        </w:numPr>
        <w:spacing w:lineRule="auto" w:line="276"/>
        <w:ind w:left="360" w:hanging="0"/>
        <w:jc w:val="both"/>
        <w:rPr/>
      </w:pPr>
      <w:r>
        <w:rPr/>
      </w:r>
    </w:p>
    <w:p>
      <w:pPr>
        <w:pStyle w:val="Normal"/>
        <w:spacing w:lineRule="auto" w:line="240"/>
        <w:ind w:firstLine="567"/>
        <w:jc w:val="both"/>
        <w:rPr>
          <w:rFonts w:ascii="Times New Roman" w:hAnsi="Times New Roman"/>
          <w:sz w:val="24"/>
          <w:szCs w:val="24"/>
        </w:rPr>
      </w:pPr>
      <w:r>
        <w:rPr>
          <w:rFonts w:ascii="Times New Roman" w:hAnsi="Times New Roman"/>
          <w:sz w:val="24"/>
          <w:szCs w:val="24"/>
        </w:rPr>
        <w:t>Городской округ город Новоалтайск своей юго-западной границей примыкает к крупнейшему городскому округу Алтайского края, краевому центру – г. Барнаулу с его развитой градостроительной и производственной базой, объектами социально – культурного развития и бытового обслуживания эпизодического пользования, учебными и административными центрами. Кроме этого, Новоалтайск является административным центром Первомайского района, имеет свой высокий промышленный потенциал, транспортный и железнодорожный узел, развитую инженерную инфраструктуру энергетики и газификации, связанную с центром Сибири – г. Новосибирском.</w:t>
      </w:r>
    </w:p>
    <w:p>
      <w:pPr>
        <w:pStyle w:val="Normal"/>
        <w:spacing w:lineRule="auto" w:line="240" w:before="0" w:after="0"/>
        <w:ind w:firstLine="567"/>
        <w:jc w:val="center"/>
        <w:rPr>
          <w:rFonts w:ascii="Times New Roman" w:hAnsi="Times New Roman"/>
          <w:sz w:val="24"/>
          <w:szCs w:val="24"/>
        </w:rPr>
      </w:pPr>
      <w:r>
        <w:rPr>
          <w:rFonts w:ascii="Times New Roman" w:hAnsi="Times New Roman"/>
          <w:b/>
          <w:bCs/>
          <w:sz w:val="24"/>
          <w:szCs w:val="24"/>
        </w:rPr>
        <w:t>Социальное и культурно-бытовое обслуживание населения.</w:t>
      </w:r>
    </w:p>
    <w:p>
      <w:pPr>
        <w:pStyle w:val="Normal"/>
        <w:spacing w:lineRule="auto" w:line="240" w:before="0" w:after="0"/>
        <w:ind w:firstLine="567"/>
        <w:jc w:val="both"/>
        <w:rPr>
          <w:rStyle w:val="Style7"/>
          <w:rFonts w:ascii="Times New Roman" w:hAnsi="Times New Roman"/>
          <w:i w:val="false"/>
          <w:i w:val="false"/>
          <w:iCs/>
          <w:sz w:val="24"/>
          <w:szCs w:val="24"/>
        </w:rPr>
      </w:pPr>
      <w:r>
        <w:rPr>
          <w:rFonts w:ascii="Times New Roman" w:hAnsi="Times New Roman"/>
          <w:b/>
          <w:bCs/>
          <w:sz w:val="24"/>
          <w:szCs w:val="24"/>
        </w:rPr>
        <w:t xml:space="preserve">Учреждения образования. </w:t>
      </w:r>
      <w:r>
        <w:rPr>
          <w:rFonts w:ascii="Times New Roman" w:hAnsi="Times New Roman"/>
          <w:sz w:val="24"/>
          <w:szCs w:val="24"/>
        </w:rPr>
        <w:t xml:space="preserve">В Новоалтайске образовательное пространство представлено государственными и негосударственными организациями. </w:t>
      </w:r>
      <w:r>
        <w:rPr>
          <w:rStyle w:val="Style7"/>
          <w:rFonts w:ascii="Times New Roman" w:hAnsi="Times New Roman"/>
          <w:i w:val="false"/>
          <w:iCs/>
          <w:sz w:val="24"/>
          <w:szCs w:val="24"/>
        </w:rPr>
        <w:t>Среди них 16 дошкольных образовательных организаций, 6 частных детских садов, 9 общеобразовательных школ, лицей, гимназия, три учреждения дополнительного образования.</w:t>
      </w:r>
    </w:p>
    <w:p>
      <w:pPr>
        <w:pStyle w:val="Style47"/>
        <w:numPr>
          <w:ilvl w:val="0"/>
          <w:numId w:val="0"/>
        </w:numPr>
        <w:spacing w:before="0" w:after="0"/>
        <w:ind w:left="0" w:firstLine="567"/>
        <w:rPr>
          <w:i/>
          <w:i/>
          <w:iCs/>
        </w:rPr>
      </w:pPr>
      <w:r>
        <w:rPr>
          <w:i/>
          <w:iCs/>
        </w:rPr>
        <w:t>Планируется:</w:t>
      </w:r>
    </w:p>
    <w:p>
      <w:pPr>
        <w:pStyle w:val="Style47"/>
        <w:numPr>
          <w:ilvl w:val="0"/>
          <w:numId w:val="8"/>
        </w:numPr>
        <w:spacing w:before="0" w:after="0"/>
        <w:ind w:left="1" w:firstLine="567"/>
        <w:rPr>
          <w:i/>
          <w:i/>
          <w:iCs/>
        </w:rPr>
      </w:pPr>
      <w:r>
        <w:rPr>
          <w:i/>
          <w:iCs/>
        </w:rPr>
        <w:t>Проектирование и строительство школы в 11 микрорайоне;</w:t>
      </w:r>
    </w:p>
    <w:p>
      <w:pPr>
        <w:pStyle w:val="Style47"/>
        <w:numPr>
          <w:ilvl w:val="0"/>
          <w:numId w:val="0"/>
        </w:numPr>
        <w:spacing w:before="0" w:after="0"/>
        <w:ind w:left="0" w:firstLine="567"/>
        <w:rPr>
          <w:rStyle w:val="Style7"/>
          <w:i w:val="false"/>
          <w:i w:val="false"/>
        </w:rPr>
      </w:pPr>
      <w:r>
        <w:rPr>
          <w:b/>
          <w:bCs/>
        </w:rPr>
        <w:t>Объекты санаторно-курортного отдыха для детей.</w:t>
      </w:r>
      <w:r>
        <w:rPr/>
        <w:t xml:space="preserve"> Каникулярный отдых и оздоровление детей организовано в Муниципальном бюджетном учреждении дополнительного образования оздоровительном лагере «Орленок», а также в загородных стационарных детских оздоровительных лагерях Алтайского края независимо от формы собственности.</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 xml:space="preserve">Учреждения здравоохранения и социального обеспечения. </w:t>
      </w:r>
      <w:r>
        <w:rPr>
          <w:rFonts w:ascii="Times New Roman" w:hAnsi="Times New Roman"/>
          <w:sz w:val="24"/>
          <w:szCs w:val="24"/>
        </w:rPr>
        <w:t>В городском округе город Новоалтайск, система здравоохранения представлена учреждениями:</w:t>
      </w:r>
    </w:p>
    <w:p>
      <w:pPr>
        <w:pStyle w:val="Style47"/>
        <w:numPr>
          <w:ilvl w:val="0"/>
          <w:numId w:val="8"/>
        </w:numPr>
        <w:spacing w:before="0" w:after="0"/>
        <w:ind w:left="0" w:firstLine="567"/>
        <w:rPr/>
      </w:pPr>
      <w:r>
        <w:rPr/>
        <w:t>Краевое государственное бюджетное учреждение здравоохранения;</w:t>
      </w:r>
    </w:p>
    <w:p>
      <w:pPr>
        <w:pStyle w:val="Style47"/>
        <w:numPr>
          <w:ilvl w:val="0"/>
          <w:numId w:val="8"/>
        </w:numPr>
        <w:spacing w:before="0" w:after="0"/>
        <w:ind w:left="0" w:firstLine="567"/>
        <w:rPr/>
      </w:pPr>
      <w:r>
        <w:rPr/>
        <w:t>Краевое учреждение здравоохранения КГКУЗ «Алтайский противотуберкулезный диспансер»;</w:t>
      </w:r>
    </w:p>
    <w:p>
      <w:pPr>
        <w:pStyle w:val="Style47"/>
        <w:numPr>
          <w:ilvl w:val="0"/>
          <w:numId w:val="8"/>
        </w:numPr>
        <w:spacing w:before="0" w:after="0"/>
        <w:ind w:left="0" w:firstLine="567"/>
        <w:rPr/>
      </w:pPr>
      <w:r>
        <w:rPr/>
        <w:t xml:space="preserve">Лечебное учреждение в составе ЛИУ-8; </w:t>
      </w:r>
    </w:p>
    <w:p>
      <w:pPr>
        <w:pStyle w:val="Style47"/>
        <w:numPr>
          <w:ilvl w:val="0"/>
          <w:numId w:val="12"/>
        </w:numPr>
        <w:spacing w:before="0" w:after="0"/>
        <w:ind w:left="0" w:firstLine="567"/>
        <w:rPr/>
      </w:pPr>
      <w:r>
        <w:rPr/>
        <w:t>Негосударственное учреждение здравоохранения «Узловая поликлиника на станции Алтайская» открытого акционерного общества Российские железные дорог</w:t>
      </w:r>
      <w:r>
        <w:rPr>
          <w:bCs/>
        </w:rPr>
        <w:t>.</w:t>
      </w:r>
    </w:p>
    <w:p>
      <w:pPr>
        <w:pStyle w:val="Style47"/>
        <w:numPr>
          <w:ilvl w:val="0"/>
          <w:numId w:val="0"/>
        </w:numPr>
        <w:spacing w:before="0" w:after="0"/>
        <w:ind w:left="0" w:firstLine="567"/>
        <w:rPr>
          <w:bCs/>
          <w:i/>
          <w:i/>
          <w:iCs/>
        </w:rPr>
      </w:pPr>
      <w:r>
        <w:rPr>
          <w:bCs/>
          <w:i/>
          <w:iCs/>
        </w:rPr>
        <w:t>Планируется:</w:t>
      </w:r>
    </w:p>
    <w:p>
      <w:pPr>
        <w:pStyle w:val="Style47"/>
        <w:numPr>
          <w:ilvl w:val="0"/>
          <w:numId w:val="13"/>
        </w:numPr>
        <w:spacing w:before="0" w:after="0"/>
        <w:ind w:left="0" w:firstLine="567"/>
        <w:rPr>
          <w:rStyle w:val="Style7"/>
          <w:bCs/>
          <w:iCs/>
        </w:rPr>
      </w:pPr>
      <w:r>
        <w:rPr>
          <w:i/>
          <w:iCs/>
        </w:rPr>
        <w:t>Реконструкция КГКУЗ "Алтайский противотуберкулезный диспансер" по ул. Белоярская,1 в г. Новоалтайске на 250 коек;</w:t>
      </w:r>
    </w:p>
    <w:p>
      <w:pPr>
        <w:pStyle w:val="Style47"/>
        <w:numPr>
          <w:ilvl w:val="0"/>
          <w:numId w:val="0"/>
        </w:numPr>
        <w:spacing w:before="0" w:after="0"/>
        <w:ind w:left="0" w:firstLine="567"/>
        <w:rPr>
          <w:bCs/>
        </w:rPr>
      </w:pPr>
      <w:r>
        <w:rPr>
          <w:b/>
          <w:bCs/>
        </w:rPr>
        <w:t>Объекты культуры и искусства.</w:t>
      </w:r>
      <w:r>
        <w:rPr/>
        <w:t xml:space="preserve"> Культура города Новоалтайска включает в себя развитую сеть учреждений культуры - музей, библиотеку, учреждения культурно– досугового типа, детские школы искусств. </w:t>
      </w:r>
      <w:r>
        <w:rPr>
          <w:bCs/>
        </w:rPr>
        <w:t>В культурно–досуговых учреждениях города действуют 49 клубных формирований, из них 33 творческих коллектива, в которых занимаются около 1500 человек. Ансамблю русской песни «Белоросы» и народному хору ветеранов войны и труда присвоено звание «Заслуженный коллектив Алтайского края», 9 творческих коллективов имеют звание «народный», 5 коллективов – «образцовый». Культурно–досуговому центру «Космос» присвоен статус модельного клубного учреждения.</w:t>
      </w:r>
    </w:p>
    <w:p>
      <w:pPr>
        <w:pStyle w:val="Style47"/>
        <w:numPr>
          <w:ilvl w:val="0"/>
          <w:numId w:val="0"/>
        </w:numPr>
        <w:spacing w:before="0" w:after="0"/>
        <w:ind w:left="0" w:firstLine="567"/>
        <w:rPr/>
      </w:pPr>
      <w:r>
        <w:rPr>
          <w:b/>
          <w:bCs/>
        </w:rPr>
        <w:t xml:space="preserve">Объекты физической культуры и массового спорта. </w:t>
      </w:r>
      <w:r>
        <w:rPr/>
        <w:t xml:space="preserve">По состоянию на 01.01.2017 на территории городского округа город Новоалтайск функционируют спортивные объекты: </w:t>
      </w:r>
    </w:p>
    <w:p>
      <w:pPr>
        <w:pStyle w:val="BodyText2"/>
        <w:numPr>
          <w:ilvl w:val="1"/>
          <w:numId w:val="14"/>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 xml:space="preserve">стадионы – 3 ед.; </w:t>
      </w:r>
    </w:p>
    <w:p>
      <w:pPr>
        <w:pStyle w:val="BodyText2"/>
        <w:numPr>
          <w:ilvl w:val="1"/>
          <w:numId w:val="15"/>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плоскостные спортивные сооружения – 23ед.;</w:t>
      </w:r>
    </w:p>
    <w:p>
      <w:pPr>
        <w:pStyle w:val="BodyText2"/>
        <w:numPr>
          <w:ilvl w:val="1"/>
          <w:numId w:val="16"/>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спортивные залы – 18 ед.;</w:t>
      </w:r>
    </w:p>
    <w:p>
      <w:pPr>
        <w:pStyle w:val="BodyText2"/>
        <w:numPr>
          <w:ilvl w:val="1"/>
          <w:numId w:val="17"/>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крытый лед – 0 ед.;</w:t>
      </w:r>
    </w:p>
    <w:p>
      <w:pPr>
        <w:pStyle w:val="BodyText2"/>
        <w:numPr>
          <w:ilvl w:val="1"/>
          <w:numId w:val="18"/>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бассейн – 1 ед.;</w:t>
      </w:r>
    </w:p>
    <w:p>
      <w:pPr>
        <w:pStyle w:val="BodyText2"/>
        <w:numPr>
          <w:ilvl w:val="1"/>
          <w:numId w:val="19"/>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лыжная база – 1 ед.;</w:t>
      </w:r>
    </w:p>
    <w:p>
      <w:pPr>
        <w:pStyle w:val="BodyText2"/>
        <w:numPr>
          <w:ilvl w:val="1"/>
          <w:numId w:val="20"/>
        </w:numPr>
        <w:shd w:val="clear" w:color="auto" w:fill="FFFFFF"/>
        <w:spacing w:lineRule="auto" w:line="240" w:before="0" w:after="0"/>
        <w:jc w:val="both"/>
        <w:rPr>
          <w:rFonts w:ascii="Times New Roman" w:hAnsi="Times New Roman"/>
          <w:sz w:val="24"/>
          <w:szCs w:val="24"/>
        </w:rPr>
      </w:pPr>
      <w:r>
        <w:rPr>
          <w:rFonts w:ascii="Times New Roman" w:hAnsi="Times New Roman"/>
          <w:sz w:val="24"/>
          <w:szCs w:val="24"/>
        </w:rPr>
        <w:t>тир – 1 ед.</w:t>
      </w:r>
    </w:p>
    <w:p>
      <w:pPr>
        <w:pStyle w:val="BodyText2"/>
        <w:shd w:val="clear" w:color="auto" w:fill="FFFFFF"/>
        <w:spacing w:lineRule="auto" w:line="240" w:before="0" w:after="0"/>
        <w:ind w:firstLine="567"/>
        <w:jc w:val="both"/>
        <w:rPr>
          <w:rFonts w:ascii="Times New Roman" w:hAnsi="Times New Roman"/>
          <w:sz w:val="24"/>
          <w:szCs w:val="24"/>
        </w:rPr>
      </w:pPr>
      <w:r>
        <w:rPr>
          <w:rFonts w:ascii="Times New Roman" w:hAnsi="Times New Roman"/>
          <w:i/>
          <w:iCs/>
          <w:sz w:val="24"/>
          <w:szCs w:val="24"/>
        </w:rPr>
        <w:t>Планируется</w:t>
      </w:r>
      <w:r>
        <w:rPr>
          <w:rFonts w:ascii="Times New Roman" w:hAnsi="Times New Roman"/>
          <w:sz w:val="24"/>
          <w:szCs w:val="24"/>
        </w:rPr>
        <w:t>:</w:t>
      </w:r>
    </w:p>
    <w:p>
      <w:pPr>
        <w:pStyle w:val="Style47"/>
        <w:numPr>
          <w:ilvl w:val="0"/>
          <w:numId w:val="8"/>
        </w:numPr>
        <w:spacing w:before="0" w:after="0"/>
        <w:ind w:left="0" w:firstLine="567"/>
        <w:rPr>
          <w:i/>
          <w:i/>
          <w:iCs/>
        </w:rPr>
      </w:pPr>
      <w:r>
        <w:rPr>
          <w:i/>
          <w:iCs/>
        </w:rPr>
        <w:t>Строительство культурно-спортивного комплекса на 1810,00 кв. м. по адресу: Алтайский край, г. Новоалтайск, ул. Анатолия, 2;</w:t>
      </w:r>
    </w:p>
    <w:p>
      <w:pPr>
        <w:pStyle w:val="Normal"/>
        <w:spacing w:lineRule="auto" w:line="240" w:before="0" w:after="0"/>
        <w:ind w:firstLine="567"/>
        <w:jc w:val="center"/>
        <w:rPr>
          <w:rFonts w:ascii="Times New Roman" w:hAnsi="Times New Roman"/>
          <w:sz w:val="24"/>
          <w:szCs w:val="24"/>
        </w:rPr>
      </w:pPr>
      <w:r>
        <w:rPr>
          <w:rFonts w:ascii="Times New Roman" w:hAnsi="Times New Roman"/>
          <w:b/>
          <w:bCs/>
          <w:sz w:val="24"/>
          <w:szCs w:val="24"/>
        </w:rPr>
        <w:t>Транспортное</w:t>
      </w:r>
      <w:r>
        <w:rPr>
          <w:rFonts w:ascii="Times New Roman" w:hAnsi="Times New Roman"/>
          <w:sz w:val="24"/>
          <w:szCs w:val="24"/>
        </w:rPr>
        <w:t> </w:t>
      </w:r>
      <w:r>
        <w:rPr>
          <w:rFonts w:ascii="Times New Roman" w:hAnsi="Times New Roman"/>
          <w:b/>
          <w:bCs/>
          <w:sz w:val="24"/>
          <w:szCs w:val="24"/>
        </w:rPr>
        <w:t>обеспечение</w:t>
      </w:r>
      <w:r>
        <w:rPr>
          <w:rFonts w:ascii="Times New Roman" w:hAnsi="Times New Roman"/>
          <w:sz w:val="24"/>
          <w:szCs w:val="24"/>
        </w:rPr>
        <w:t>.</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w:t>
      </w:r>
      <w:r>
        <w:rPr>
          <w:rFonts w:ascii="Times New Roman" w:hAnsi="Times New Roman"/>
          <w:bCs/>
        </w:rPr>
        <w:t xml:space="preserve"> </w:t>
      </w:r>
      <w:r>
        <w:rPr>
          <w:rFonts w:ascii="Times New Roman" w:hAnsi="Times New Roman"/>
          <w:sz w:val="24"/>
          <w:szCs w:val="24"/>
        </w:rPr>
        <w:t>территории</w:t>
      </w:r>
      <w:r>
        <w:rPr>
          <w:rFonts w:ascii="Times New Roman" w:hAnsi="Times New Roman"/>
          <w:bCs/>
        </w:rPr>
        <w:t xml:space="preserve"> </w:t>
      </w:r>
      <w:r>
        <w:rPr>
          <w:rFonts w:ascii="Times New Roman" w:hAnsi="Times New Roman"/>
          <w:sz w:val="24"/>
          <w:szCs w:val="24"/>
        </w:rPr>
        <w:t>города</w:t>
      </w:r>
      <w:r>
        <w:rPr>
          <w:rFonts w:ascii="Times New Roman" w:hAnsi="Times New Roman"/>
          <w:bCs/>
        </w:rPr>
        <w:t xml:space="preserve"> </w:t>
      </w:r>
      <w:r>
        <w:rPr>
          <w:rFonts w:ascii="Times New Roman" w:hAnsi="Times New Roman"/>
          <w:sz w:val="24"/>
          <w:szCs w:val="24"/>
        </w:rPr>
        <w:t>имеются:</w:t>
      </w:r>
      <w:r>
        <w:rPr>
          <w:rFonts w:ascii="Times New Roman" w:hAnsi="Times New Roman"/>
          <w:bCs/>
        </w:rPr>
        <w:t xml:space="preserve"> </w:t>
      </w:r>
      <w:r>
        <w:rPr>
          <w:rFonts w:ascii="Times New Roman" w:hAnsi="Times New Roman"/>
          <w:sz w:val="24"/>
          <w:szCs w:val="24"/>
        </w:rPr>
        <w:t>железнодорожный</w:t>
      </w:r>
      <w:r>
        <w:rPr>
          <w:rFonts w:ascii="Times New Roman" w:hAnsi="Times New Roman"/>
          <w:bCs/>
        </w:rPr>
        <w:t xml:space="preserve"> </w:t>
      </w:r>
      <w:r>
        <w:rPr>
          <w:rFonts w:ascii="Times New Roman" w:hAnsi="Times New Roman"/>
          <w:sz w:val="24"/>
          <w:szCs w:val="24"/>
        </w:rPr>
        <w:t>вокзал, автомобильные мосты</w:t>
      </w:r>
      <w:r>
        <w:rPr>
          <w:rFonts w:ascii="Times New Roman" w:hAnsi="Times New Roman"/>
          <w:bCs/>
        </w:rPr>
        <w:t xml:space="preserve"> </w:t>
      </w:r>
      <w:r>
        <w:rPr>
          <w:rFonts w:ascii="Times New Roman" w:hAnsi="Times New Roman"/>
          <w:sz w:val="24"/>
          <w:szCs w:val="24"/>
        </w:rPr>
        <w:t>и</w:t>
      </w:r>
      <w:r>
        <w:rPr>
          <w:rFonts w:ascii="Times New Roman" w:hAnsi="Times New Roman"/>
          <w:bCs/>
        </w:rPr>
        <w:t xml:space="preserve"> </w:t>
      </w:r>
      <w:r>
        <w:rPr>
          <w:rFonts w:ascii="Times New Roman" w:hAnsi="Times New Roman"/>
          <w:sz w:val="24"/>
          <w:szCs w:val="24"/>
        </w:rPr>
        <w:t>путепроводы</w:t>
      </w:r>
      <w:r>
        <w:rPr>
          <w:rFonts w:ascii="Times New Roman" w:hAnsi="Times New Roman"/>
          <w:bCs/>
        </w:rPr>
        <w:t xml:space="preserve"> </w:t>
      </w:r>
      <w:r>
        <w:rPr>
          <w:rFonts w:ascii="Times New Roman" w:hAnsi="Times New Roman"/>
          <w:sz w:val="24"/>
          <w:szCs w:val="24"/>
        </w:rPr>
        <w:t>(путепровод на ул. Деповская, мост через реку Чесноковка на ул. Набережная, мост через реку Чесноковка на ул. Анатолия, мост через реку Малая Черемшанка на ул. Белоярская, мост через реку Большая Черемшанка на ул. Белоярская).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городе Новоалтайске в настоящее время действует 24 муниципальных автобусных маршрутов, которые ежедневно обслуживают 56 автобусов. Общее количество межмуниципальных маршрутов, проходящих по городу Новоалтайску – 27 ед. (из них соединяющих с городом Барнаулом 15 маршрутов). Ежедневно пассажирским транспортом совершается более 15000 рейсов.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Действующая муниципальная маршрутная сеть охватывает все районы, в том числе отдаленные: Геологов, Кармацкий, Мелиораторов, районы Боярка, Торфопредприятия, Токарево, Раздолье, ст. Боровиха.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настоящее время сохранена система перевозок пассажиров льготных категорий по единым социальным проездным билетам (ЕСПБ).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Учащиеся из отдаленных городских районов имеют возможность воспользоваться правом льготного проезда до ближайшей школы. Данные льготы предоставляются без компенсации из городского бюджета, за счет средств предпринимателей, осуществляющих пассажироперевозки.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Перевозка инвалидов и участников Великой Отечественной войны осуществляется бесплатно всеми видами автобусов по предъявлению соответствующего удостоверения.</w:t>
      </w:r>
    </w:p>
    <w:p>
      <w:pPr>
        <w:pStyle w:val="BodyText2"/>
        <w:shd w:val="clear" w:color="auto" w:fill="FFFFFF"/>
        <w:spacing w:lineRule="auto" w:line="240" w:before="0" w:after="0"/>
        <w:ind w:firstLine="567"/>
        <w:jc w:val="both"/>
        <w:rPr>
          <w:rFonts w:ascii="Times New Roman" w:hAnsi="Times New Roman"/>
          <w:sz w:val="24"/>
          <w:szCs w:val="24"/>
        </w:rPr>
      </w:pPr>
      <w:r>
        <w:rPr>
          <w:rFonts w:ascii="Times New Roman" w:hAnsi="Times New Roman"/>
          <w:i/>
          <w:iCs/>
          <w:sz w:val="24"/>
          <w:szCs w:val="24"/>
        </w:rPr>
        <w:t>Планируется</w:t>
      </w:r>
      <w:r>
        <w:rPr>
          <w:rFonts w:ascii="Times New Roman" w:hAnsi="Times New Roman"/>
          <w:sz w:val="24"/>
          <w:szCs w:val="24"/>
        </w:rPr>
        <w:t>:</w:t>
      </w:r>
    </w:p>
    <w:p>
      <w:pPr>
        <w:pStyle w:val="Style47"/>
        <w:numPr>
          <w:ilvl w:val="0"/>
          <w:numId w:val="8"/>
        </w:numPr>
        <w:spacing w:before="0" w:after="0"/>
        <w:ind w:left="0" w:firstLine="567"/>
        <w:rPr>
          <w:i/>
          <w:i/>
          <w:iCs/>
        </w:rPr>
      </w:pPr>
      <w:r>
        <w:rPr>
          <w:i/>
          <w:iCs/>
        </w:rPr>
        <w:t>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p>
    <w:p>
      <w:pPr>
        <w:pStyle w:val="Style47"/>
        <w:numPr>
          <w:ilvl w:val="0"/>
          <w:numId w:val="8"/>
        </w:numPr>
        <w:spacing w:before="0" w:after="0"/>
        <w:ind w:left="0" w:firstLine="567"/>
        <w:rPr>
          <w:i/>
          <w:i/>
          <w:iCs/>
        </w:rPr>
      </w:pPr>
      <w:r>
        <w:rPr>
          <w:i/>
          <w:iCs/>
        </w:rPr>
        <w:t xml:space="preserve"> </w:t>
      </w:r>
      <w:r>
        <w:rPr>
          <w:i/>
          <w:iCs/>
        </w:rPr>
        <w:t>Строительство автомобильной дороги местного значения по ул. Спортивная.</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Внешний транспорт.</w:t>
      </w:r>
      <w:r>
        <w:rPr>
          <w:rFonts w:ascii="Times New Roman" w:hAnsi="Times New Roman"/>
          <w:sz w:val="24"/>
          <w:szCs w:val="24"/>
        </w:rPr>
        <w:t xml:space="preserve"> По территории городского округа, вдоль восточной и южной его границ проходят две трассы 1 категории – Федеральная на Новосибирск и объездная на Барнаул, чем обеспечивается удобная транспортная связь с этими городами.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территории города находятся крупный железнодорожный узел — станция «Алтайская», предприятия Западно-Сибирской железной дороги, тяжёлого машиностроения АО «Алтайвагон», строительной отрасли ЗАО «Алтайкровля», ОАО «Белоярский мачтопропиточный завод», ряд предприятий ГУП «Алтайавтодор», лесоперерабатывающей промышленности.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 2011 года на территории города функционирует и активно расширяется крупный логистический распределительный центр компании «Мария-Ра» и распределительный центр ООО «Прайд-А». Предприятия торговли и общественного питания, бытовых услуг сосредоточены в секторе малого и среднего бизнеса.</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Улично-дорожная сеть.</w:t>
      </w:r>
      <w:r>
        <w:rPr>
          <w:rFonts w:ascii="Times New Roman" w:hAnsi="Times New Roman"/>
          <w:sz w:val="24"/>
          <w:szCs w:val="24"/>
        </w:rPr>
        <w:t xml:space="preserve"> Основу дорожной сети города составляют автомобильные дороги общего пользования местного значения: ул. Спасская, ул. Октябренок, ул. Советов, ул. Переездная, ул. Ударника, ул. Октябрьская, ул. Строительная, ул. Деповская, ул. Белоярская обеспечивающие взаимосвязь всех функциональных зон - жилые, производственные, общественные центры, выходы на внешние направления: трасса М-52, автодорога Р-256 «Чуйский Тракт», «Новосибирский тракт» (автодороги регионального и федерального значения).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этих улицах концентрируются значительные потоки пассажирского и грузового транспорта, которые затем неизбежно попадают в центральную часть города, где происходит их перераспределение.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Протяженность автомобильных дорог общего пользования местного значения в городе составляет 354,2 км, в том числе с усовершенствованным покрытием – 240,0 км, с грунтовым и переходным покрытием – 114,2 км.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Значительная часть автомобильных дорог общего пользования местного значения имеет высокую степень износа и низкую пропускную способность. В зависимости от степени разрушения дорожных покрытий пропускная способность автомобильных дорог снизилась на 20%.</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75% конструкций дорожных одежд рассчитано под осевую нагрузку в 6 тонн, в то время как большинство грузовых автомобилей и автобусов имеют фактическую нагрузку от 8 до 10 тонн.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Существующая пропускная способность основных автомобильных дорог: ул. Переездная, ул. Ударника, ул. Октябрьская, ул. Строительная, ул. Деповская ограничена.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Отрицательно влияет на общую обстановку и точечная застройка центра города, усугубляющая ситуацию с загруженностью существующих автомобильных дорог общего пользования местного значения.</w:t>
      </w:r>
    </w:p>
    <w:p>
      <w:pPr>
        <w:pStyle w:val="Caption"/>
        <w:spacing w:before="0" w:after="0"/>
        <w:ind w:firstLine="567"/>
        <w:jc w:val="both"/>
        <w:rPr>
          <w:rFonts w:ascii="Times New Roman" w:hAnsi="Times New Roman"/>
          <w:sz w:val="24"/>
          <w:szCs w:val="24"/>
        </w:rPr>
      </w:pPr>
      <w:r>
        <w:rPr>
          <w:rFonts w:ascii="Times New Roman" w:hAnsi="Times New Roman"/>
          <w:i w:val="false"/>
          <w:iCs w:val="false"/>
          <w:color w:val="000000"/>
          <w:sz w:val="24"/>
          <w:szCs w:val="24"/>
        </w:rPr>
        <w:t>Вышеперечисленные</w:t>
      </w:r>
      <w:r>
        <w:rPr>
          <w:rFonts w:ascii="Times New Roman" w:hAnsi="Times New Roman"/>
          <w:sz w:val="24"/>
          <w:szCs w:val="24"/>
        </w:rPr>
        <w:t xml:space="preserve"> </w:t>
      </w:r>
      <w:r>
        <w:rPr>
          <w:rFonts w:ascii="Times New Roman" w:hAnsi="Times New Roman"/>
          <w:i w:val="false"/>
          <w:iCs w:val="false"/>
          <w:color w:val="000000"/>
          <w:sz w:val="24"/>
          <w:szCs w:val="24"/>
        </w:rPr>
        <w:t>факторы</w:t>
      </w:r>
      <w:r>
        <w:rPr>
          <w:rFonts w:ascii="Times New Roman" w:hAnsi="Times New Roman"/>
          <w:sz w:val="24"/>
          <w:szCs w:val="24"/>
        </w:rPr>
        <w:t xml:space="preserve"> </w:t>
      </w:r>
      <w:r>
        <w:rPr>
          <w:rFonts w:ascii="Times New Roman" w:hAnsi="Times New Roman"/>
          <w:i w:val="false"/>
          <w:iCs w:val="false"/>
          <w:color w:val="000000"/>
          <w:sz w:val="24"/>
          <w:szCs w:val="24"/>
        </w:rPr>
        <w:t>способствуют формированию "пробок" на</w:t>
      </w:r>
      <w:r>
        <w:rPr>
          <w:rFonts w:ascii="Times New Roman" w:hAnsi="Times New Roman"/>
          <w:sz w:val="24"/>
          <w:szCs w:val="24"/>
        </w:rPr>
        <w:t xml:space="preserve"> </w:t>
      </w:r>
      <w:r>
        <w:rPr>
          <w:rFonts w:ascii="Times New Roman" w:hAnsi="Times New Roman"/>
          <w:i w:val="false"/>
          <w:iCs w:val="false"/>
          <w:color w:val="000000"/>
          <w:sz w:val="24"/>
          <w:szCs w:val="24"/>
        </w:rPr>
        <w:t>основных автомобильных</w:t>
      </w:r>
      <w:r>
        <w:rPr>
          <w:rFonts w:ascii="Times New Roman" w:hAnsi="Times New Roman"/>
          <w:sz w:val="24"/>
          <w:szCs w:val="24"/>
        </w:rPr>
        <w:t xml:space="preserve"> </w:t>
      </w:r>
      <w:r>
        <w:rPr>
          <w:rFonts w:ascii="Times New Roman" w:hAnsi="Times New Roman"/>
          <w:i w:val="false"/>
          <w:iCs w:val="false"/>
          <w:color w:val="000000"/>
          <w:sz w:val="24"/>
          <w:szCs w:val="24"/>
        </w:rPr>
        <w:t>дорогах</w:t>
      </w:r>
      <w:r>
        <w:rPr>
          <w:rFonts w:ascii="Times New Roman" w:hAnsi="Times New Roman"/>
          <w:sz w:val="24"/>
          <w:szCs w:val="24"/>
        </w:rPr>
        <w:t xml:space="preserve"> </w:t>
      </w:r>
      <w:r>
        <w:rPr>
          <w:rFonts w:ascii="Times New Roman" w:hAnsi="Times New Roman"/>
          <w:i w:val="false"/>
          <w:iCs w:val="false"/>
          <w:color w:val="000000"/>
          <w:sz w:val="24"/>
          <w:szCs w:val="24"/>
        </w:rPr>
        <w:t xml:space="preserve">города. Необходимо принимать неотложные меры по качественному изменению состояния сети автомобильных дорог общего пользования местного значения, чтобы обеспечить ее ускоренное развитие в соответствии с потребностями экономики, населения (см. Таблица </w:t>
      </w:r>
      <w:r>
        <w:rPr>
          <w:rFonts w:ascii="Times New Roman" w:hAnsi="Times New Roman"/>
          <w:i w:val="false"/>
          <w:iCs w:val="false"/>
          <w:color w:val="000000"/>
          <w:sz w:val="24"/>
          <w:szCs w:val="24"/>
        </w:rPr>
        <w:fldChar w:fldCharType="begin"/>
      </w:r>
      <w:r>
        <w:rPr>
          <w:sz w:val="24"/>
          <w:i w:val="false"/>
          <w:szCs w:val="24"/>
          <w:iCs w:val="false"/>
          <w:rFonts w:ascii="Times New Roman" w:hAnsi="Times New Roman"/>
          <w:color w:val="000000"/>
        </w:rPr>
        <w:instrText> SEQ Рисунок \* ARABIC </w:instrText>
      </w:r>
      <w:r>
        <w:rPr>
          <w:sz w:val="24"/>
          <w:i w:val="false"/>
          <w:szCs w:val="24"/>
          <w:iCs w:val="false"/>
          <w:rFonts w:ascii="Times New Roman" w:hAnsi="Times New Roman"/>
          <w:color w:val="000000"/>
        </w:rPr>
        <w:fldChar w:fldCharType="separate"/>
      </w:r>
      <w:r>
        <w:rPr>
          <w:sz w:val="24"/>
          <w:i w:val="false"/>
          <w:szCs w:val="24"/>
          <w:iCs w:val="false"/>
          <w:rFonts w:ascii="Times New Roman" w:hAnsi="Times New Roman"/>
          <w:color w:val="000000"/>
        </w:rPr>
        <w:t>3</w:t>
      </w:r>
      <w:r>
        <w:rPr>
          <w:sz w:val="24"/>
          <w:i w:val="false"/>
          <w:szCs w:val="24"/>
          <w:iCs w:val="false"/>
          <w:rFonts w:ascii="Times New Roman" w:hAnsi="Times New Roman"/>
          <w:color w:val="000000"/>
        </w:rPr>
        <w:fldChar w:fldCharType="end"/>
      </w:r>
      <w:r>
        <w:rPr>
          <w:rFonts w:ascii="Times New Roman" w:hAnsi="Times New Roman"/>
          <w:sz w:val="24"/>
          <w:szCs w:val="24"/>
        </w:rPr>
        <w:t>)</w:t>
      </w:r>
    </w:p>
    <w:p>
      <w:pPr>
        <w:pStyle w:val="Style52"/>
        <w:numPr>
          <w:ilvl w:val="0"/>
          <w:numId w:val="4"/>
        </w:numPr>
        <w:spacing w:lineRule="auto" w:line="276"/>
        <w:rPr/>
      </w:pPr>
      <w:r>
        <w:rPr/>
        <w:t>Сведения о протяженности и перегруженных движением участках улично-дорожной сети</w:t>
      </w:r>
    </w:p>
    <w:tbl>
      <w:tblPr>
        <w:tblW w:w="9356" w:type="dxa"/>
        <w:jc w:val="left"/>
        <w:tblInd w:w="-5" w:type="dxa"/>
        <w:tblLayout w:type="fixed"/>
        <w:tblCellMar>
          <w:top w:w="0" w:type="dxa"/>
          <w:left w:w="108" w:type="dxa"/>
          <w:bottom w:w="0" w:type="dxa"/>
          <w:right w:w="108" w:type="dxa"/>
        </w:tblCellMar>
        <w:tblLook w:val="00a0"/>
      </w:tblPr>
      <w:tblGrid>
        <w:gridCol w:w="600"/>
        <w:gridCol w:w="2234"/>
        <w:gridCol w:w="1986"/>
        <w:gridCol w:w="1843"/>
        <w:gridCol w:w="1416"/>
        <w:gridCol w:w="1276"/>
      </w:tblGrid>
      <w:tr>
        <w:trPr>
          <w:tblHeader w:val="true"/>
          <w:trHeight w:val="882" w:hRule="atLeast"/>
        </w:trPr>
        <w:tc>
          <w:tcPr>
            <w:tcW w:w="6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Название дорог улиц</w:t>
            </w:r>
          </w:p>
        </w:tc>
        <w:tc>
          <w:tcPr>
            <w:tcW w:w="382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Адреса участков, перегруженных дорожным движением, км*)</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Протяжённость участков, перегруженных дорожным движением</w:t>
            </w:r>
          </w:p>
        </w:tc>
      </w:tr>
      <w:tr>
        <w:trPr>
          <w:tblHeader w:val="true"/>
          <w:trHeight w:val="275" w:hRule="atLeast"/>
        </w:trPr>
        <w:tc>
          <w:tcPr>
            <w:tcW w:w="6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начало участка</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конец участка</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Протяж., км</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Перегруж,%</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Центральная</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Центральная,16</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Анатолия,15</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0,28</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32</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40 лет Победы</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40 лет Победы,11</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Анатолия, 26</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0,20</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24,4</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Деповская</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Южсиба,5</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Прудская,2</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2,11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100</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Октябрьская</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br/>
              <w:t>ул. Ударника, 11</w:t>
            </w:r>
          </w:p>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Набережная,31</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82</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Ударника</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Переездная,7</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Октябрьская,1</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0,72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75</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6</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Коммунистическая</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Октябрьская,42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пер. Трудовой,14</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0,21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8,9</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color w:val="000000"/>
                <w:sz w:val="20"/>
                <w:szCs w:val="20"/>
              </w:rPr>
              <w:t>ул. Коммунистическая</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Коммунистическая,2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Октябренок,2</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0,64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27,35</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color w:val="000000"/>
                <w:sz w:val="20"/>
                <w:szCs w:val="20"/>
              </w:rPr>
            </w:pPr>
            <w:r>
              <w:rPr>
                <w:color w:val="000000"/>
                <w:sz w:val="20"/>
                <w:szCs w:val="20"/>
              </w:rPr>
              <w:t>ул. Октябренок</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трасса Р-256 «Чуйский тракт»</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Военстроя</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1,81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69,6</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9</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color w:val="000000"/>
                <w:sz w:val="20"/>
                <w:szCs w:val="20"/>
              </w:rPr>
            </w:pPr>
            <w:r>
              <w:rPr>
                <w:color w:val="000000"/>
                <w:sz w:val="20"/>
                <w:szCs w:val="20"/>
              </w:rPr>
              <w:t>ул. Южсиба</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Строительная,5</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ул. Южсиба,18</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0,52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100</w:t>
            </w:r>
          </w:p>
        </w:tc>
      </w:tr>
      <w:tr>
        <w:trPr/>
        <w:tc>
          <w:tcPr>
            <w:tcW w:w="600"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both"/>
              <w:rPr>
                <w:sz w:val="20"/>
                <w:szCs w:val="20"/>
              </w:rPr>
            </w:pPr>
            <w:r>
              <w:rPr>
                <w:sz w:val="20"/>
                <w:szCs w:val="20"/>
              </w:rPr>
            </w:r>
          </w:p>
        </w:tc>
        <w:tc>
          <w:tcPr>
            <w:tcW w:w="60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Всего</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7,76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65,9</w:t>
            </w:r>
          </w:p>
        </w:tc>
      </w:tr>
    </w:tbl>
    <w:p>
      <w:pPr>
        <w:pStyle w:val="Style52"/>
        <w:numPr>
          <w:ilvl w:val="0"/>
          <w:numId w:val="0"/>
        </w:numPr>
        <w:spacing w:lineRule="auto" w:line="276"/>
        <w:ind w:left="360" w:hanging="0"/>
        <w:jc w:val="both"/>
        <w:rPr/>
      </w:pPr>
      <w:r>
        <w:rPr/>
      </w:r>
    </w:p>
    <w:p>
      <w:pPr>
        <w:pStyle w:val="2"/>
        <w:numPr>
          <w:ilvl w:val="0"/>
          <w:numId w:val="0"/>
        </w:numPr>
        <w:spacing w:lineRule="auto" w:line="276"/>
        <w:ind w:left="0" w:firstLine="709"/>
        <w:jc w:val="both"/>
        <w:rPr>
          <w:sz w:val="24"/>
          <w:szCs w:val="24"/>
        </w:rPr>
      </w:pPr>
      <w:bookmarkStart w:id="33" w:name="_Toc142575254"/>
      <w:bookmarkStart w:id="34" w:name="_Toc135662173"/>
      <w:r>
        <w:rPr>
          <w:sz w:val="24"/>
          <w:szCs w:val="24"/>
        </w:rPr>
        <w:t>2.4. Инженерное обеспечение</w:t>
      </w:r>
      <w:bookmarkEnd w:id="33"/>
      <w:bookmarkEnd w:id="34"/>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Водоснабжение</w:t>
      </w:r>
      <w:r>
        <w:rPr>
          <w:rFonts w:ascii="Times New Roman" w:hAnsi="Times New Roman"/>
          <w:sz w:val="24"/>
          <w:szCs w:val="24"/>
        </w:rPr>
        <w:t>. Источником водоснабжения города Новоалтайска являются подземные воды. Водозабор осуществляется из артезианских скважин в количестве 50 шт., расположенных на 29 водозаборных площадках (кустах) и имеющих 12 локальных систем. Водозаборные площадки расположены, в основном, в черте города, без необходимых зон санитарной охраны. Протяженность водопроводных сетей составляет 159,24 км, в том числе со 100% износом.</w:t>
      </w:r>
    </w:p>
    <w:p>
      <w:pPr>
        <w:pStyle w:val="BodyText2"/>
        <w:shd w:val="clear" w:color="auto" w:fill="FFFFFF"/>
        <w:spacing w:lineRule="auto" w:line="240" w:before="0" w:after="0"/>
        <w:ind w:firstLine="567"/>
        <w:jc w:val="both"/>
        <w:rPr>
          <w:rFonts w:ascii="Times New Roman" w:hAnsi="Times New Roman"/>
          <w:sz w:val="24"/>
          <w:szCs w:val="24"/>
        </w:rPr>
      </w:pPr>
      <w:r>
        <w:rPr>
          <w:rFonts w:ascii="Times New Roman" w:hAnsi="Times New Roman"/>
          <w:i/>
          <w:iCs/>
          <w:sz w:val="24"/>
          <w:szCs w:val="24"/>
        </w:rPr>
        <w:t>Планируется</w:t>
      </w:r>
      <w:r>
        <w:rPr>
          <w:rFonts w:ascii="Times New Roman" w:hAnsi="Times New Roman"/>
          <w:sz w:val="24"/>
          <w:szCs w:val="24"/>
        </w:rPr>
        <w:t>:</w:t>
      </w:r>
    </w:p>
    <w:p>
      <w:pPr>
        <w:pStyle w:val="Style47"/>
        <w:numPr>
          <w:ilvl w:val="0"/>
          <w:numId w:val="8"/>
        </w:numPr>
        <w:spacing w:before="0" w:after="0"/>
        <w:ind w:left="0" w:firstLine="567"/>
        <w:rPr>
          <w:i/>
          <w:i/>
          <w:iCs/>
        </w:rPr>
      </w:pPr>
      <w:r>
        <w:rPr>
          <w:i/>
          <w:iCs/>
        </w:rPr>
        <w:t>Строительство комплекса водозаборных сооружений по ул. Плодопитомник, 16;</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Водоотведение (канализация).</w:t>
      </w:r>
      <w:r>
        <w:rPr>
          <w:rFonts w:ascii="Times New Roman" w:hAnsi="Times New Roman"/>
          <w:sz w:val="24"/>
          <w:szCs w:val="24"/>
        </w:rPr>
        <w:t xml:space="preserve"> Водоотведение города Новоалтайска осуществляется единой канализационной системой, представленной 15 канализационными насосными станциями (КНС) и ведомственными локальными очистными сооружениями с 4 КНС, городскими канализационными сетями общей протяженностью 96,4 км и городскими очистными сооружениями (КОС) проектной производительностью 33,0 тыс.м³/сут. Сброс очищенных стоков осуществляется в водоем рыбохозяйственного назначения р. Обь. Канализационные сети и сооружения построены, в основном, в 1968-1978гг. Все районы города, имеющие многоэтажную застройку, канализованы. Частично канализованы Белоярский и Новогорский районы, ст. Присягино, с перекачкой стоков на городские КОС. Жилые районы частной индивидуальной застройки большей частью не канализованы. Эксплуатацию водопроводно-канализационных сетей и сооружений осуществляет муниципальное унитарное предприятие «Водоканал» г. Новоалтайска.</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В водопроводно-канализационном хозяйстве города Новоалтайска сложилась неблагоприятная обстановка, вызванная тем, что многие объекты были приняты от промышленных предприятий города с большим процентом износа. За время их эксплуатации не выделялись централизованные капитальные вложения на строительство, реконструкцию и модернизацию сетей и сооружений систем водоснабжения, водоотведения и очистки. Реконструкция и модернизация объектов проводились только за счет собственных средств предприятия, не достаточных для выполнения данных работ, что явилось причиной:</w:t>
      </w:r>
    </w:p>
    <w:p>
      <w:pPr>
        <w:pStyle w:val="BodyText2"/>
        <w:shd w:val="clear" w:color="auto" w:fill="FFFFFF"/>
        <w:spacing w:lineRule="auto" w:line="240" w:before="0" w:after="0"/>
        <w:ind w:firstLine="567"/>
        <w:jc w:val="both"/>
        <w:rPr>
          <w:rFonts w:ascii="Times New Roman" w:hAnsi="Times New Roman"/>
          <w:sz w:val="24"/>
          <w:szCs w:val="24"/>
        </w:rPr>
      </w:pPr>
      <w:r>
        <w:rPr>
          <w:rFonts w:ascii="Times New Roman" w:hAnsi="Times New Roman"/>
          <w:i/>
          <w:iCs/>
          <w:sz w:val="24"/>
          <w:szCs w:val="24"/>
        </w:rPr>
        <w:t>Планируется</w:t>
      </w:r>
      <w:r>
        <w:rPr>
          <w:rFonts w:ascii="Times New Roman" w:hAnsi="Times New Roman"/>
          <w:sz w:val="24"/>
          <w:szCs w:val="24"/>
        </w:rPr>
        <w:t>:</w:t>
      </w:r>
    </w:p>
    <w:p>
      <w:pPr>
        <w:pStyle w:val="Style47"/>
        <w:numPr>
          <w:ilvl w:val="0"/>
          <w:numId w:val="8"/>
        </w:numPr>
        <w:spacing w:before="0" w:after="0"/>
        <w:ind w:left="0" w:firstLine="567"/>
        <w:rPr>
          <w:i/>
          <w:i/>
          <w:iCs/>
        </w:rPr>
      </w:pPr>
      <w:r>
        <w:rPr>
          <w:i/>
          <w:iCs/>
        </w:rPr>
        <w:t>Строительство дублирующего напорного коллектора от КНС-2 ул. Магистральная, ул. Набережная переход через пойму р. Чесноковка, ул. Октябрьская, ул. Ударника, переход через ж/д переезд, ул. Переездная, ул. Новоударника далее переход через ж/д пути и магистральную дорогу до приемной камеры КОС в г. Новоалтайске, Алтайского края;</w:t>
      </w:r>
    </w:p>
    <w:p>
      <w:pPr>
        <w:pStyle w:val="Caption"/>
        <w:spacing w:before="0" w:after="0"/>
        <w:ind w:firstLine="567"/>
        <w:rPr>
          <w:rFonts w:ascii="Times New Roman" w:hAnsi="Times New Roman"/>
          <w:i w:val="false"/>
          <w:i w:val="false"/>
          <w:iCs w:val="false"/>
          <w:color w:val="000000"/>
          <w:sz w:val="24"/>
          <w:szCs w:val="24"/>
        </w:rPr>
      </w:pPr>
      <w:r>
        <w:rPr>
          <w:rFonts w:ascii="Times New Roman" w:hAnsi="Times New Roman"/>
          <w:i w:val="false"/>
          <w:iCs w:val="false"/>
          <w:color w:val="000000"/>
          <w:sz w:val="24"/>
          <w:szCs w:val="24"/>
        </w:rPr>
        <w:t xml:space="preserve">1) Старение основных производственных фондов приведено в Таблице </w:t>
      </w:r>
      <w:r>
        <w:rPr>
          <w:rFonts w:ascii="Times New Roman" w:hAnsi="Times New Roman"/>
          <w:i w:val="false"/>
          <w:iCs w:val="false"/>
          <w:color w:val="000000"/>
          <w:sz w:val="24"/>
          <w:szCs w:val="24"/>
        </w:rPr>
        <w:fldChar w:fldCharType="begin"/>
      </w:r>
      <w:r>
        <w:rPr>
          <w:sz w:val="24"/>
          <w:i w:val="false"/>
          <w:szCs w:val="24"/>
          <w:iCs w:val="false"/>
          <w:rFonts w:ascii="Times New Roman" w:hAnsi="Times New Roman"/>
          <w:color w:val="000000"/>
        </w:rPr>
        <w:instrText> SEQ Рисунок \* ARABIC </w:instrText>
      </w:r>
      <w:r>
        <w:rPr>
          <w:sz w:val="24"/>
          <w:i w:val="false"/>
          <w:szCs w:val="24"/>
          <w:iCs w:val="false"/>
          <w:rFonts w:ascii="Times New Roman" w:hAnsi="Times New Roman"/>
          <w:color w:val="000000"/>
        </w:rPr>
        <w:fldChar w:fldCharType="separate"/>
      </w:r>
      <w:r>
        <w:rPr>
          <w:sz w:val="24"/>
          <w:i w:val="false"/>
          <w:szCs w:val="24"/>
          <w:iCs w:val="false"/>
          <w:rFonts w:ascii="Times New Roman" w:hAnsi="Times New Roman"/>
          <w:color w:val="000000"/>
        </w:rPr>
        <w:t>4</w:t>
      </w:r>
      <w:r>
        <w:rPr>
          <w:sz w:val="24"/>
          <w:i w:val="false"/>
          <w:szCs w:val="24"/>
          <w:iCs w:val="false"/>
          <w:rFonts w:ascii="Times New Roman" w:hAnsi="Times New Roman"/>
          <w:color w:val="000000"/>
        </w:rPr>
        <w:fldChar w:fldCharType="end"/>
      </w:r>
    </w:p>
    <w:p>
      <w:pPr>
        <w:pStyle w:val="Style52"/>
        <w:numPr>
          <w:ilvl w:val="0"/>
          <w:numId w:val="4"/>
        </w:numPr>
        <w:spacing w:lineRule="auto" w:line="276"/>
        <w:rPr/>
      </w:pPr>
      <w:r>
        <w:rPr/>
        <w:t>Средний износ основных производственных фондов в процентах</w:t>
      </w:r>
    </w:p>
    <w:tbl>
      <w:tblPr>
        <w:tblW w:w="9350" w:type="dxa"/>
        <w:jc w:val="left"/>
        <w:tblInd w:w="-5" w:type="dxa"/>
        <w:tblLayout w:type="fixed"/>
        <w:tblCellMar>
          <w:top w:w="0" w:type="dxa"/>
          <w:left w:w="108" w:type="dxa"/>
          <w:bottom w:w="0" w:type="dxa"/>
          <w:right w:w="108" w:type="dxa"/>
        </w:tblCellMar>
        <w:tblLook w:val="00a0"/>
      </w:tblPr>
      <w:tblGrid>
        <w:gridCol w:w="566"/>
        <w:gridCol w:w="6145"/>
        <w:gridCol w:w="2639"/>
      </w:tblGrid>
      <w:tr>
        <w:trPr>
          <w:tblHeader w:val="true"/>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6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Наименование основных производственных фондов</w:t>
            </w:r>
          </w:p>
        </w:tc>
        <w:tc>
          <w:tcPr>
            <w:tcW w:w="2639"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pacing w:lineRule="auto" w:line="240" w:before="0" w:after="0"/>
              <w:ind w:left="0" w:hanging="0"/>
              <w:contextualSpacing/>
              <w:jc w:val="center"/>
              <w:rPr>
                <w:rFonts w:ascii="Times New Roman" w:hAnsi="Times New Roman"/>
                <w:sz w:val="20"/>
                <w:szCs w:val="20"/>
              </w:rPr>
            </w:pPr>
            <w:r>
              <w:rPr>
                <w:rFonts w:ascii="Times New Roman" w:hAnsi="Times New Roman"/>
                <w:sz w:val="20"/>
                <w:szCs w:val="20"/>
              </w:rPr>
              <w:t xml:space="preserve">Средний износ, </w:t>
            </w:r>
            <w:r>
              <w:rPr>
                <w:rFonts w:ascii="Times New Roman" w:hAnsi="Times New Roman"/>
                <w:sz w:val="20"/>
                <w:szCs w:val="20"/>
                <w:lang w:val="en-US"/>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61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средний износ водопроводных сетей</w:t>
            </w:r>
          </w:p>
        </w:tc>
        <w:tc>
          <w:tcPr>
            <w:tcW w:w="2639"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0" w:after="0"/>
              <w:ind w:left="0" w:hanging="0"/>
              <w:contextualSpacing/>
              <w:jc w:val="center"/>
              <w:rPr>
                <w:rFonts w:ascii="Times New Roman" w:hAnsi="Times New Roman"/>
                <w:color w:val="000000"/>
                <w:sz w:val="20"/>
                <w:szCs w:val="20"/>
              </w:rPr>
            </w:pPr>
            <w:r>
              <w:rPr>
                <w:rFonts w:ascii="Times New Roman" w:hAnsi="Times New Roman"/>
                <w:sz w:val="20"/>
                <w:szCs w:val="20"/>
              </w:rPr>
              <w:t>46,5 %;</w:t>
            </w:r>
          </w:p>
        </w:tc>
      </w:tr>
      <w:tr>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61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средний износ канализационных сетей</w:t>
            </w:r>
          </w:p>
        </w:tc>
        <w:tc>
          <w:tcPr>
            <w:tcW w:w="2639"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0" w:after="0"/>
              <w:ind w:left="0" w:hanging="0"/>
              <w:contextualSpacing/>
              <w:jc w:val="center"/>
              <w:rPr>
                <w:rFonts w:ascii="Times New Roman" w:hAnsi="Times New Roman"/>
                <w:color w:val="000000"/>
                <w:sz w:val="20"/>
                <w:szCs w:val="20"/>
              </w:rPr>
            </w:pPr>
            <w:r>
              <w:rPr>
                <w:rFonts w:ascii="Times New Roman" w:hAnsi="Times New Roman"/>
                <w:sz w:val="20"/>
                <w:szCs w:val="20"/>
              </w:rPr>
              <w:t>62,5 %;</w:t>
            </w:r>
          </w:p>
        </w:tc>
      </w:tr>
      <w:tr>
        <w:trPr>
          <w:trHeight w:val="7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61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olor w:val="000000"/>
                <w:sz w:val="20"/>
                <w:szCs w:val="20"/>
              </w:rPr>
            </w:pPr>
            <w:r>
              <w:rPr>
                <w:rFonts w:ascii="Times New Roman" w:hAnsi="Times New Roman"/>
                <w:sz w:val="20"/>
                <w:szCs w:val="20"/>
              </w:rPr>
              <w:t>средний износ сооружений</w:t>
            </w:r>
          </w:p>
        </w:tc>
        <w:tc>
          <w:tcPr>
            <w:tcW w:w="2639"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0" w:after="0"/>
              <w:ind w:left="0" w:hanging="0"/>
              <w:contextualSpacing/>
              <w:jc w:val="center"/>
              <w:rPr>
                <w:rFonts w:ascii="Times New Roman" w:hAnsi="Times New Roman"/>
                <w:color w:val="000000"/>
                <w:sz w:val="20"/>
                <w:szCs w:val="20"/>
              </w:rPr>
            </w:pPr>
            <w:r>
              <w:rPr>
                <w:rFonts w:ascii="Times New Roman" w:hAnsi="Times New Roman"/>
                <w:sz w:val="20"/>
                <w:szCs w:val="20"/>
              </w:rPr>
              <w:t>69,7 %.</w:t>
            </w:r>
          </w:p>
        </w:tc>
      </w:tr>
    </w:tbl>
    <w:p>
      <w:pPr>
        <w:pStyle w:val="Normal"/>
        <w:spacing w:lineRule="auto" w:line="276"/>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2) Увеличения числа аварий и повреждений;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3) Несоответствия качества воды по отдельным показателям требованиям СанПиН 2.1.4.1074-01 «Вода питьевая»;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4) Не выполнения предложений санитарной и гидрогеологической служб о выносе водозаборов из черты жилого массива, по организации зон санитарной и сторожевой защиты водозаборных узлов;</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sz w:val="24"/>
          <w:szCs w:val="24"/>
        </w:rPr>
        <w:t>5) Высокой степени износа и потребности в модернизации системы очистки сточных вод.</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 xml:space="preserve">Теплоснабжение. </w:t>
      </w:r>
      <w:r>
        <w:rPr>
          <w:rFonts w:ascii="Times New Roman" w:hAnsi="Times New Roman"/>
          <w:sz w:val="24"/>
          <w:szCs w:val="24"/>
        </w:rPr>
        <w:t>Система городского теплоснабжения охватывает территории города Новоалтайска, районов Новогорский, Белоярский и станции Присягино. Около 67 процентов мощности обеспечивается за счет котельных установок, которые находятся в муниципальной собственности и эксплуатируются МУП г. Новоалтайска «Новоалтайские тепловые сети» (16 котельных).</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Промышленные предприятия обеспечиваются теплом от собственных котельных. Теплоснабжение жилищно-коммунального сектора производится, в основном, от промышленно-отопительных котельных АВЗ, КРЗ и центральной районной котельной, а также, в незначительной мере, от некоторых промышленных котельных. Топливом для котельных города является уголь и газ. Расходы тепла на отопление жилого сектора приняты по укрупненным показателям справочника «Наладка и эксплуатация водяных тепловых сетей». Расчеты произведены для расчетной температуры наружного воздуха на отопление -39</w:t>
      </w:r>
      <w:r>
        <w:rPr>
          <w:rFonts w:ascii="Times New Roman" w:hAnsi="Times New Roman"/>
          <w:color w:val="000000"/>
          <w:sz w:val="24"/>
          <w:szCs w:val="24"/>
          <w:vertAlign w:val="superscript"/>
        </w:rPr>
        <w:t>о</w:t>
      </w:r>
      <w:r>
        <w:rPr>
          <w:rFonts w:ascii="Times New Roman" w:hAnsi="Times New Roman"/>
          <w:color w:val="000000"/>
          <w:sz w:val="24"/>
          <w:szCs w:val="24"/>
        </w:rPr>
        <w:t xml:space="preserve"> С в соответствии со СНиП 23-01-99*. Максимальный часовой расход тепла на отопление общественных зданий принят в размере 25% от расхода тепла на отопление жилых зданий. Максимальный часовой расход тепла на вентиляцию общественных зданий принят в размере 40% от расхода тепла на отопление этих зданий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Топливо, используемое в производстве тепловой энергии – природный газ и каменный уголь. Примерно 33 процента мощности городской системы теплоснабжения обеспечивается котельными ОАО «Алтайвагон», ООО «НЗЖБИ», ГУП «НЗМК», ФКУ ЛИУ-8, Алтайского территориального участка Западно-Сибирской дирекции по тепловодоснабжению, при этом транспортировка тепловой энергии потребителям (через тепловые сети и сооружения на них) осуществляется МУП г. Новоалтайска «Новоалтайские тепловые сети».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Также на территории города Новоалтайска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локализованы около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индивидуальных одноэтажных или двухэтажных зданий. Точная информация о количестве и установленной мощности иных индивидуальных теплогенераторов отсутствует.</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Отпуск тепловой энергии всего в городе Новоалтайске равна 314,70 тыс. Гкал (топливо: природный газ, уголь, мазут), включая муниципальные котельные, арендуемые МУП «Новоалтайские тепловые сети» в размере 239,47</w:t>
      </w:r>
      <w:r>
        <w:rPr/>
        <w:t xml:space="preserve"> </w:t>
      </w:r>
      <w:r>
        <w:rPr>
          <w:rFonts w:ascii="Times New Roman" w:hAnsi="Times New Roman"/>
          <w:sz w:val="24"/>
          <w:szCs w:val="24"/>
        </w:rPr>
        <w:t xml:space="preserve">тыс. Гкал (топливо: природный газ, уголь). Отпуск производится от централизованных котельных, перечень которых представлен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5</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spacing w:lineRule="auto" w:line="276"/>
        <w:rPr/>
      </w:pPr>
      <w:r>
        <w:rPr/>
        <w:t>Источники тепловой энергии</w:t>
      </w:r>
    </w:p>
    <w:tbl>
      <w:tblPr>
        <w:tblW w:w="9350" w:type="dxa"/>
        <w:jc w:val="left"/>
        <w:tblInd w:w="0" w:type="dxa"/>
        <w:tblLayout w:type="fixed"/>
        <w:tblCellMar>
          <w:top w:w="0" w:type="dxa"/>
          <w:left w:w="108" w:type="dxa"/>
          <w:bottom w:w="0" w:type="dxa"/>
          <w:right w:w="108" w:type="dxa"/>
        </w:tblCellMar>
        <w:tblLook w:val="00a0"/>
      </w:tblPr>
      <w:tblGrid>
        <w:gridCol w:w="566"/>
        <w:gridCol w:w="5854"/>
        <w:gridCol w:w="2930"/>
      </w:tblGrid>
      <w:tr>
        <w:trPr>
          <w:tblHeader w:val="true"/>
        </w:trPr>
        <w:tc>
          <w:tcPr>
            <w:tcW w:w="566"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 xml:space="preserve">№ </w:t>
            </w:r>
            <w:r>
              <w:rPr>
                <w:sz w:val="20"/>
                <w:szCs w:val="20"/>
              </w:rPr>
              <w:t>п</w:t>
            </w:r>
            <w:r>
              <w:rPr>
                <w:sz w:val="20"/>
                <w:szCs w:val="20"/>
                <w:lang w:val="en-US"/>
              </w:rPr>
              <w:t>/</w:t>
            </w:r>
            <w:r>
              <w:rPr>
                <w:sz w:val="20"/>
                <w:szCs w:val="20"/>
              </w:rPr>
              <w:t>п</w:t>
            </w:r>
          </w:p>
        </w:tc>
        <w:tc>
          <w:tcPr>
            <w:tcW w:w="5854"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Перечень централизованных котельных</w:t>
            </w:r>
          </w:p>
        </w:tc>
        <w:tc>
          <w:tcPr>
            <w:tcW w:w="2930" w:type="dxa"/>
            <w:tcBorders>
              <w:top w:val="single" w:sz="4" w:space="0" w:color="000000"/>
              <w:left w:val="single" w:sz="4" w:space="0" w:color="000000"/>
              <w:bottom w:val="single" w:sz="4" w:space="0" w:color="000000"/>
              <w:right w:val="single" w:sz="4" w:space="0" w:color="000000"/>
            </w:tcBorders>
            <w:vAlign w:val="center"/>
          </w:tcPr>
          <w:p>
            <w:pPr>
              <w:pStyle w:val="Style52"/>
              <w:widowControl w:val="false"/>
              <w:numPr>
                <w:ilvl w:val="0"/>
                <w:numId w:val="0"/>
              </w:numPr>
              <w:spacing w:lineRule="auto" w:line="240"/>
              <w:ind w:left="0" w:hanging="0"/>
              <w:jc w:val="center"/>
              <w:rPr>
                <w:sz w:val="20"/>
                <w:szCs w:val="20"/>
              </w:rPr>
            </w:pPr>
            <w:r>
              <w:rPr>
                <w:sz w:val="20"/>
                <w:szCs w:val="20"/>
              </w:rPr>
              <w:t>Установленная мощность, Гкал</w:t>
            </w:r>
            <w:r>
              <w:rPr>
                <w:sz w:val="20"/>
                <w:szCs w:val="20"/>
                <w:lang w:val="en-US"/>
              </w:rPr>
              <w:t>/</w:t>
            </w:r>
            <w:r>
              <w:rPr>
                <w:sz w:val="20"/>
                <w:szCs w:val="20"/>
              </w:rPr>
              <w:t>ч</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50,0</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2</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 а</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8,5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3</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№2</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12,0</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4</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№3</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5</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№4</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0,48</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6</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№5</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2,44</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7</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№6</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0,6</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8</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№7</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9</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№8</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0,19</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10</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№10</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1,22</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11</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№11</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30,96</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12</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№12</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3,15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13</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№13</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1,7</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14</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№14а</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0,5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15</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№15</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1,09</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16</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№16</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1,66</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17</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№17</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lang w:eastAsia="en-US"/>
              </w:rPr>
              <w:t>16,78</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18</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№18</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lang w:eastAsia="en-US"/>
              </w:rPr>
              <w:t>2,3</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19</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№19</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6,68</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20</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№20</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21</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№21</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22</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ОАО «Алтайвагон»</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lang w:val="en-US"/>
              </w:rPr>
              <w:t>2</w:t>
            </w:r>
            <w:r>
              <w:rPr>
                <w:sz w:val="20"/>
                <w:szCs w:val="20"/>
              </w:rPr>
              <w:t>3</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ФКУ ЛИУ-8</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lang w:val="en-US"/>
              </w:rPr>
              <w:t>2</w:t>
            </w:r>
            <w:r>
              <w:rPr>
                <w:sz w:val="20"/>
                <w:szCs w:val="20"/>
              </w:rPr>
              <w:t>4</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ПЧ ст. Алтайская (ДТВу-4)</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1,26</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25</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локомотивного депо ст. Алтайская (ДТВу-4)</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45</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lang w:val="en-US"/>
              </w:rPr>
              <w:t>2</w:t>
            </w:r>
            <w:r>
              <w:rPr>
                <w:sz w:val="20"/>
                <w:szCs w:val="20"/>
              </w:rPr>
              <w:t>6</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ООО «Стройсиб»</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5,8-</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27</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ФКУ ИК-11</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lang w:val="en-US"/>
              </w:rPr>
            </w:pPr>
            <w:r>
              <w:rPr>
                <w:sz w:val="20"/>
                <w:szCs w:val="20"/>
              </w:rPr>
              <w:t>28</w:t>
            </w:r>
          </w:p>
        </w:tc>
        <w:tc>
          <w:tcPr>
            <w:tcW w:w="5854"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Котельная ТСЖ «Космос»</w:t>
            </w:r>
          </w:p>
        </w:tc>
        <w:tc>
          <w:tcPr>
            <w:tcW w:w="2930"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0"/>
                <w:szCs w:val="20"/>
              </w:rPr>
            </w:pPr>
            <w:r>
              <w:rPr>
                <w:sz w:val="20"/>
                <w:szCs w:val="20"/>
              </w:rPr>
              <w:t>-</w:t>
            </w:r>
          </w:p>
        </w:tc>
      </w:tr>
    </w:tbl>
    <w:p>
      <w:pPr>
        <w:pStyle w:val="Normal"/>
        <w:spacing w:lineRule="auto" w:line="24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ind w:firstLine="567"/>
        <w:jc w:val="both"/>
        <w:rPr>
          <w:rFonts w:ascii="Times New Roman" w:hAnsi="Times New Roman"/>
          <w:sz w:val="24"/>
          <w:szCs w:val="24"/>
        </w:rPr>
      </w:pPr>
      <w:r>
        <w:rPr>
          <w:rFonts w:ascii="Times New Roman" w:hAnsi="Times New Roman"/>
          <w:sz w:val="24"/>
          <w:szCs w:val="24"/>
        </w:rPr>
        <w:t xml:space="preserve">Динамика потребления тепловой энергии в городе Новоалтайске по данным Алтайкрайстат приведены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6</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spacing w:lineRule="auto" w:line="276"/>
        <w:rPr/>
      </w:pPr>
      <w:r>
        <w:rPr/>
        <w:t>Потребление тепловой энергии</w:t>
      </w:r>
    </w:p>
    <w:tbl>
      <w:tblPr>
        <w:tblW w:w="9350" w:type="dxa"/>
        <w:jc w:val="left"/>
        <w:tblInd w:w="-5" w:type="dxa"/>
        <w:tblLayout w:type="fixed"/>
        <w:tblCellMar>
          <w:top w:w="0" w:type="dxa"/>
          <w:left w:w="108" w:type="dxa"/>
          <w:bottom w:w="0" w:type="dxa"/>
          <w:right w:w="108" w:type="dxa"/>
        </w:tblCellMar>
        <w:tblLook w:val="00a0"/>
      </w:tblPr>
      <w:tblGrid>
        <w:gridCol w:w="566"/>
        <w:gridCol w:w="2960"/>
        <w:gridCol w:w="1164"/>
        <w:gridCol w:w="1164"/>
        <w:gridCol w:w="1165"/>
        <w:gridCol w:w="1165"/>
        <w:gridCol w:w="1165"/>
      </w:tblGrid>
      <w:tr>
        <w:trPr>
          <w:tblHeader w:val="true"/>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п/п</w:t>
            </w:r>
          </w:p>
        </w:tc>
        <w:tc>
          <w:tcPr>
            <w:tcW w:w="29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Показатель</w:t>
            </w:r>
          </w:p>
        </w:tc>
        <w:tc>
          <w:tcPr>
            <w:tcW w:w="5823"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Год</w:t>
            </w:r>
          </w:p>
        </w:tc>
      </w:tr>
      <w:tr>
        <w:trPr>
          <w:tblHeader w:val="true"/>
        </w:trPr>
        <w:tc>
          <w:tcPr>
            <w:tcW w:w="5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2008</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2009</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2010</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2011</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2012</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Потребление теплоэнергии</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323,8</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318,0</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315,3</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305,4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314,7</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Источники тепловой энергии, всего</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147,5</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126,6</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194,4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305,4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314,7</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ТЭЦ, всего</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включая:</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энергокомпании</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6</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блок-станции</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Котельные</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147,5</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126,6</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194,4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305,4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239,5</w:t>
            </w:r>
          </w:p>
        </w:tc>
      </w:tr>
      <w:tr>
        <w:trPr/>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w:t>
            </w:r>
          </w:p>
        </w:tc>
        <w:tc>
          <w:tcPr>
            <w:tcW w:w="2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Прочие источники (ведомственные котельные)</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176,3</w:t>
            </w:r>
          </w:p>
        </w:tc>
        <w:tc>
          <w:tcPr>
            <w:tcW w:w="11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191,4</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120,9</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75,2</w:t>
            </w:r>
          </w:p>
        </w:tc>
      </w:tr>
    </w:tbl>
    <w:p>
      <w:pPr>
        <w:pStyle w:val="Style52"/>
        <w:numPr>
          <w:ilvl w:val="0"/>
          <w:numId w:val="0"/>
        </w:numPr>
        <w:spacing w:lineRule="auto" w:line="276"/>
        <w:ind w:left="0" w:hanging="0"/>
        <w:jc w:val="left"/>
        <w:rPr/>
      </w:pPr>
      <w:r>
        <w:rPr/>
      </w:r>
    </w:p>
    <w:p>
      <w:pPr>
        <w:pStyle w:val="Caption"/>
        <w:ind w:firstLine="567"/>
        <w:jc w:val="both"/>
        <w:rPr>
          <w:rFonts w:ascii="Times New Roman" w:hAnsi="Times New Roman"/>
          <w:i w:val="false"/>
          <w:i w:val="false"/>
          <w:iCs w:val="false"/>
          <w:color w:val="000000"/>
          <w:sz w:val="24"/>
          <w:szCs w:val="24"/>
        </w:rPr>
      </w:pPr>
      <w:r>
        <w:rPr>
          <w:rFonts w:ascii="Times New Roman" w:hAnsi="Times New Roman"/>
          <w:i w:val="false"/>
          <w:iCs w:val="false"/>
          <w:color w:val="000000"/>
          <w:sz w:val="24"/>
          <w:szCs w:val="24"/>
        </w:rPr>
        <w:t xml:space="preserve">Расходы тепла на отопление, вентиляцию, горячее водоснабжение и производственные нужды жилого сектора, а также производственную зону приняты по укрупненным показателям справочника «Наладка и эксплуатация водяных тепловых сетей» и сведены в Таблицу </w:t>
      </w:r>
      <w:r>
        <w:rPr>
          <w:rFonts w:ascii="Times New Roman" w:hAnsi="Times New Roman"/>
          <w:i w:val="false"/>
          <w:iCs w:val="false"/>
          <w:color w:val="000000"/>
          <w:sz w:val="24"/>
          <w:szCs w:val="24"/>
        </w:rPr>
        <w:fldChar w:fldCharType="begin"/>
      </w:r>
      <w:r>
        <w:rPr>
          <w:sz w:val="24"/>
          <w:i w:val="false"/>
          <w:szCs w:val="24"/>
          <w:iCs w:val="false"/>
          <w:rFonts w:ascii="Times New Roman" w:hAnsi="Times New Roman"/>
          <w:color w:val="000000"/>
        </w:rPr>
        <w:instrText> SEQ Рисунок \* ARABIC </w:instrText>
      </w:r>
      <w:r>
        <w:rPr>
          <w:sz w:val="24"/>
          <w:i w:val="false"/>
          <w:szCs w:val="24"/>
          <w:iCs w:val="false"/>
          <w:rFonts w:ascii="Times New Roman" w:hAnsi="Times New Roman"/>
          <w:color w:val="000000"/>
        </w:rPr>
        <w:fldChar w:fldCharType="separate"/>
      </w:r>
      <w:r>
        <w:rPr>
          <w:sz w:val="24"/>
          <w:i w:val="false"/>
          <w:szCs w:val="24"/>
          <w:iCs w:val="false"/>
          <w:rFonts w:ascii="Times New Roman" w:hAnsi="Times New Roman"/>
          <w:color w:val="000000"/>
        </w:rPr>
        <w:t>7</w:t>
      </w:r>
      <w:r>
        <w:rPr>
          <w:sz w:val="24"/>
          <w:i w:val="false"/>
          <w:szCs w:val="24"/>
          <w:iCs w:val="false"/>
          <w:rFonts w:ascii="Times New Roman" w:hAnsi="Times New Roman"/>
          <w:color w:val="000000"/>
        </w:rPr>
        <w:fldChar w:fldCharType="end"/>
      </w:r>
      <w:r>
        <w:rPr>
          <w:rFonts w:ascii="Times New Roman" w:hAnsi="Times New Roman"/>
          <w:i w:val="false"/>
          <w:iCs w:val="false"/>
          <w:color w:val="000000"/>
          <w:sz w:val="24"/>
          <w:szCs w:val="24"/>
        </w:rPr>
        <w:t>.</w:t>
      </w:r>
    </w:p>
    <w:p>
      <w:pPr>
        <w:pStyle w:val="Style52"/>
        <w:numPr>
          <w:ilvl w:val="0"/>
          <w:numId w:val="4"/>
        </w:numPr>
        <w:spacing w:lineRule="auto" w:line="276"/>
        <w:rPr/>
      </w:pPr>
      <w:r>
        <w:rPr/>
        <w:t>Расходы тепла по укрупненным показателям справочника «</w:t>
      </w:r>
      <w:r>
        <w:rPr>
          <w:color w:val="000000"/>
        </w:rPr>
        <w:t>Наладка и эксплуатация водяных тепловых сетей</w:t>
      </w:r>
      <w:r>
        <w:rPr/>
        <w:t>»</w:t>
      </w:r>
    </w:p>
    <w:tbl>
      <w:tblPr>
        <w:tblW w:w="5000" w:type="pct"/>
        <w:jc w:val="left"/>
        <w:tblInd w:w="0" w:type="dxa"/>
        <w:tblLayout w:type="fixed"/>
        <w:tblCellMar>
          <w:top w:w="0" w:type="dxa"/>
          <w:left w:w="108" w:type="dxa"/>
          <w:bottom w:w="0" w:type="dxa"/>
          <w:right w:w="108" w:type="dxa"/>
        </w:tblCellMar>
        <w:tblLook w:val="0000"/>
      </w:tblPr>
      <w:tblGrid>
        <w:gridCol w:w="469"/>
        <w:gridCol w:w="468"/>
        <w:gridCol w:w="2299"/>
        <w:gridCol w:w="1116"/>
        <w:gridCol w:w="1310"/>
        <w:gridCol w:w="1430"/>
        <w:gridCol w:w="1432"/>
        <w:gridCol w:w="830"/>
      </w:tblGrid>
      <w:tr>
        <w:trPr>
          <w:tblHeader w:val="true"/>
          <w:trHeight w:val="196" w:hRule="atLeast"/>
        </w:trPr>
        <w:tc>
          <w:tcPr>
            <w:tcW w:w="937"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п/п</w:t>
            </w:r>
          </w:p>
        </w:tc>
        <w:tc>
          <w:tcPr>
            <w:tcW w:w="22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Наименование потребителей</w:t>
            </w:r>
          </w:p>
        </w:tc>
        <w:tc>
          <w:tcPr>
            <w:tcW w:w="11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Единица измерения</w:t>
            </w:r>
          </w:p>
        </w:tc>
        <w:tc>
          <w:tcPr>
            <w:tcW w:w="41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Районы</w:t>
            </w:r>
          </w:p>
        </w:tc>
        <w:tc>
          <w:tcPr>
            <w:tcW w:w="8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Итого</w:t>
            </w:r>
          </w:p>
        </w:tc>
      </w:tr>
      <w:tr>
        <w:trPr>
          <w:tblHeader w:val="true"/>
          <w:trHeight w:val="479" w:hRule="atLeast"/>
        </w:trPr>
        <w:tc>
          <w:tcPr>
            <w:tcW w:w="93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Белоярский район</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Новогорский район</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Центральный район</w:t>
            </w:r>
          </w:p>
        </w:tc>
        <w:tc>
          <w:tcPr>
            <w:tcW w:w="8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rHeight w:val="783" w:hRule="atLeast"/>
        </w:trPr>
        <w:tc>
          <w:tcPr>
            <w:tcW w:w="93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населения, обеспеченного централизованным теплоснабжением</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чел.</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1030</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1850</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46350</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49230</w:t>
            </w:r>
          </w:p>
        </w:tc>
      </w:tr>
      <w:tr>
        <w:trPr>
          <w:trHeight w:val="842" w:hRule="atLeast"/>
        </w:trPr>
        <w:tc>
          <w:tcPr>
            <w:tcW w:w="937"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Общая площадь жилого фонда, принимаемого на центральное теплоснабжение</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тыс. м2</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82.852</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139.859</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1735.157</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1957.9</w:t>
            </w:r>
          </w:p>
        </w:tc>
      </w:tr>
      <w:tr>
        <w:trPr>
          <w:trHeight w:val="77" w:hRule="atLeast"/>
        </w:trPr>
        <w:tc>
          <w:tcPr>
            <w:tcW w:w="937"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том числе:</w:t>
            </w:r>
          </w:p>
        </w:tc>
        <w:tc>
          <w:tcPr>
            <w:tcW w:w="6118"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rHeight w:val="287" w:hRule="atLeast"/>
        </w:trPr>
        <w:tc>
          <w:tcPr>
            <w:tcW w:w="937"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 существующий</w:t>
            </w:r>
          </w:p>
        </w:tc>
        <w:tc>
          <w:tcPr>
            <w:tcW w:w="11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тыс. м2</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82.852</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139.859</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942.646</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1165.4</w:t>
            </w:r>
          </w:p>
        </w:tc>
      </w:tr>
      <w:tr>
        <w:trPr>
          <w:trHeight w:val="348" w:hRule="atLeast"/>
        </w:trPr>
        <w:tc>
          <w:tcPr>
            <w:tcW w:w="937"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б) I очередь</w:t>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307.310</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rHeight w:val="372" w:hRule="atLeast"/>
        </w:trPr>
        <w:tc>
          <w:tcPr>
            <w:tcW w:w="937"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расчетный срок</w:t>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1735.157</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rHeight w:val="1030" w:hRule="atLeast"/>
        </w:trPr>
        <w:tc>
          <w:tcPr>
            <w:tcW w:w="46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46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3.1</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Отопление жилых зданий, принимаемых на централизованное теплоснабжение</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Гкал/ч</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3.4</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5.75</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120.41</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129.56</w:t>
            </w:r>
          </w:p>
        </w:tc>
      </w:tr>
      <w:tr>
        <w:trPr>
          <w:trHeight w:val="459"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том числе:</w:t>
            </w:r>
          </w:p>
        </w:tc>
        <w:tc>
          <w:tcPr>
            <w:tcW w:w="6118"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r>
      <w:tr>
        <w:trPr>
          <w:trHeight w:val="301" w:hRule="atLeast"/>
        </w:trPr>
        <w:tc>
          <w:tcPr>
            <w:tcW w:w="469"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 существующих</w:t>
            </w:r>
          </w:p>
        </w:tc>
        <w:tc>
          <w:tcPr>
            <w:tcW w:w="11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Гкал/ч</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3.4</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5.75</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45.05</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54.2</w:t>
            </w:r>
          </w:p>
        </w:tc>
      </w:tr>
      <w:tr>
        <w:trPr>
          <w:trHeight w:val="340"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б) I очередь</w:t>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24.51</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24.51</w:t>
            </w:r>
          </w:p>
        </w:tc>
      </w:tr>
      <w:tr>
        <w:trPr>
          <w:trHeight w:val="339"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расчетный срок</w:t>
            </w:r>
          </w:p>
        </w:tc>
        <w:tc>
          <w:tcPr>
            <w:tcW w:w="1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3.4</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5.75</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120.41</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129.56</w:t>
            </w:r>
          </w:p>
        </w:tc>
      </w:tr>
      <w:tr>
        <w:trPr>
          <w:trHeight w:val="373"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3.2</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Отопление общественных зданий</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Гкал/ч</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0.85</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1.44</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30.1</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32.39</w:t>
            </w:r>
          </w:p>
        </w:tc>
      </w:tr>
      <w:tr>
        <w:trPr>
          <w:trHeight w:val="339"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3.3</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Вентиляция общественных зданий</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Гкал/ч</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0.34</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0.57</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12.04</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12.95</w:t>
            </w:r>
          </w:p>
        </w:tc>
      </w:tr>
      <w:tr>
        <w:trPr>
          <w:trHeight w:val="321"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4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3.4</w:t>
            </w:r>
          </w:p>
        </w:tc>
        <w:tc>
          <w:tcPr>
            <w:tcW w:w="22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Горячее водоснабжение</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Гкал/ч</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0.615</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1.11</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49.35</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51.08</w:t>
            </w:r>
          </w:p>
        </w:tc>
      </w:tr>
      <w:tr>
        <w:trPr>
          <w:trHeight w:val="291" w:hRule="atLeast"/>
        </w:trPr>
        <w:tc>
          <w:tcPr>
            <w:tcW w:w="4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76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ИТОГО:</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5.205</w:t>
            </w:r>
          </w:p>
        </w:tc>
        <w:tc>
          <w:tcPr>
            <w:tcW w:w="1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8.87</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211.9</w:t>
            </w:r>
          </w:p>
        </w:tc>
        <w:tc>
          <w:tcPr>
            <w:tcW w:w="8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225.98</w:t>
            </w:r>
          </w:p>
        </w:tc>
      </w:tr>
    </w:tbl>
    <w:p>
      <w:pPr>
        <w:pStyle w:val="BodyText2"/>
        <w:shd w:val="clear" w:color="auto" w:fill="FFFFFF"/>
        <w:spacing w:lineRule="auto" w:line="240" w:before="0" w:after="0"/>
        <w:ind w:firstLine="567"/>
        <w:jc w:val="both"/>
        <w:rPr>
          <w:rFonts w:ascii="Times New Roman" w:hAnsi="Times New Roman"/>
          <w:i/>
          <w:i/>
          <w:iCs/>
          <w:sz w:val="24"/>
          <w:szCs w:val="24"/>
        </w:rPr>
      </w:pPr>
      <w:r>
        <w:rPr>
          <w:rFonts w:ascii="Times New Roman" w:hAnsi="Times New Roman"/>
          <w:i/>
          <w:iCs/>
          <w:sz w:val="24"/>
          <w:szCs w:val="24"/>
        </w:rPr>
      </w:r>
    </w:p>
    <w:p>
      <w:pPr>
        <w:pStyle w:val="BodyText2"/>
        <w:shd w:val="clear" w:color="auto" w:fill="FFFFFF"/>
        <w:spacing w:lineRule="auto" w:line="240" w:before="0" w:after="0"/>
        <w:ind w:firstLine="567"/>
        <w:jc w:val="both"/>
        <w:rPr>
          <w:rFonts w:ascii="Times New Roman" w:hAnsi="Times New Roman"/>
          <w:i/>
          <w:i/>
          <w:iCs/>
          <w:sz w:val="24"/>
          <w:szCs w:val="24"/>
        </w:rPr>
      </w:pPr>
      <w:r>
        <w:rPr>
          <w:rFonts w:ascii="Times New Roman" w:hAnsi="Times New Roman"/>
          <w:i/>
          <w:iCs/>
          <w:sz w:val="24"/>
          <w:szCs w:val="24"/>
        </w:rPr>
        <w:t>Планируется:</w:t>
      </w:r>
    </w:p>
    <w:p>
      <w:pPr>
        <w:pStyle w:val="BodyText2"/>
        <w:shd w:val="clear" w:color="auto" w:fill="FFFFFF"/>
        <w:spacing w:lineRule="auto" w:line="240" w:before="0" w:after="0"/>
        <w:ind w:firstLine="567"/>
        <w:jc w:val="both"/>
        <w:rPr>
          <w:rFonts w:ascii="Times New Roman" w:hAnsi="Times New Roman"/>
          <w:i/>
          <w:i/>
          <w:iCs/>
          <w:sz w:val="24"/>
          <w:szCs w:val="24"/>
          <w:lang w:eastAsia="ru-RU"/>
        </w:rPr>
      </w:pPr>
      <w:r>
        <w:rPr>
          <w:rFonts w:ascii="Times New Roman" w:hAnsi="Times New Roman"/>
          <w:sz w:val="24"/>
          <w:szCs w:val="24"/>
        </w:rPr>
        <w:t xml:space="preserve">– </w:t>
      </w:r>
      <w:r>
        <w:rPr>
          <w:rFonts w:ascii="Times New Roman" w:hAnsi="Times New Roman"/>
          <w:i/>
          <w:iCs/>
          <w:sz w:val="24"/>
          <w:szCs w:val="24"/>
          <w:lang w:eastAsia="ru-RU"/>
        </w:rPr>
        <w:t>Реконструкция котельной №1 по ул. Строительная, д.37;</w:t>
      </w:r>
    </w:p>
    <w:p>
      <w:pPr>
        <w:pStyle w:val="Normal"/>
        <w:tabs>
          <w:tab w:val="clear" w:pos="709"/>
          <w:tab w:val="left" w:pos="1560" w:leader="none"/>
          <w:tab w:val="left" w:pos="2694" w:leader="none"/>
        </w:tabs>
        <w:spacing w:lineRule="auto" w:line="240" w:before="0" w:after="0"/>
        <w:ind w:firstLine="567"/>
        <w:jc w:val="both"/>
        <w:rPr>
          <w:rFonts w:ascii="Times New Roman" w:hAnsi="Times New Roman"/>
          <w:i/>
          <w:i/>
          <w:iCs/>
          <w:sz w:val="24"/>
          <w:szCs w:val="24"/>
          <w:lang w:eastAsia="ru-RU"/>
        </w:rPr>
      </w:pPr>
      <w:r>
        <w:rPr>
          <w:rFonts w:ascii="Times New Roman" w:hAnsi="Times New Roman"/>
          <w:sz w:val="24"/>
          <w:szCs w:val="24"/>
        </w:rPr>
        <w:t>–</w:t>
      </w:r>
      <w:r>
        <w:rPr>
          <w:rFonts w:ascii="Times New Roman" w:hAnsi="Times New Roman"/>
          <w:i/>
          <w:iCs/>
          <w:sz w:val="24"/>
          <w:szCs w:val="24"/>
          <w:lang w:eastAsia="ru-RU"/>
        </w:rPr>
        <w:t xml:space="preserve"> </w:t>
      </w:r>
      <w:r>
        <w:rPr>
          <w:rFonts w:ascii="Times New Roman" w:hAnsi="Times New Roman"/>
          <w:i/>
          <w:iCs/>
          <w:sz w:val="24"/>
          <w:szCs w:val="24"/>
          <w:lang w:eastAsia="ru-RU"/>
        </w:rPr>
        <w:t>Реконструкция теплового пункта №1 по ул. Ударника, 12а;</w:t>
      </w:r>
    </w:p>
    <w:p>
      <w:pPr>
        <w:pStyle w:val="Normal"/>
        <w:tabs>
          <w:tab w:val="clear" w:pos="709"/>
          <w:tab w:val="left" w:pos="0" w:leader="none"/>
        </w:tabs>
        <w:spacing w:lineRule="auto" w:line="240" w:before="0" w:after="0"/>
        <w:ind w:firstLine="567"/>
        <w:jc w:val="both"/>
        <w:rPr>
          <w:rFonts w:ascii="Times New Roman" w:hAnsi="Times New Roman"/>
          <w:i/>
          <w:i/>
          <w:iCs/>
          <w:sz w:val="24"/>
          <w:szCs w:val="24"/>
          <w:lang w:eastAsia="ru-RU"/>
        </w:rPr>
      </w:pPr>
      <w:r>
        <w:rPr>
          <w:rFonts w:ascii="Times New Roman" w:hAnsi="Times New Roman"/>
          <w:sz w:val="24"/>
          <w:szCs w:val="24"/>
        </w:rPr>
        <w:t>–</w:t>
      </w:r>
      <w:r>
        <w:rPr>
          <w:rFonts w:ascii="Times New Roman" w:hAnsi="Times New Roman"/>
          <w:i/>
          <w:iCs/>
          <w:sz w:val="24"/>
          <w:szCs w:val="24"/>
          <w:lang w:eastAsia="ru-RU"/>
        </w:rPr>
        <w:t xml:space="preserve"> </w:t>
      </w:r>
      <w:r>
        <w:rPr>
          <w:rFonts w:ascii="Times New Roman" w:hAnsi="Times New Roman"/>
          <w:i/>
          <w:iCs/>
          <w:sz w:val="24"/>
          <w:szCs w:val="24"/>
          <w:lang w:eastAsia="ru-RU"/>
        </w:rPr>
        <w:t>Перевод на природный газ с заменой существующих тепловых сетей и строительством магистрального трубопровода до котельной №13от ул. Ударника, 12а до ул. Ударника, 3а.</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b/>
          <w:bCs/>
          <w:i/>
          <w:iCs/>
          <w:sz w:val="24"/>
          <w:szCs w:val="24"/>
          <w:lang w:eastAsia="ru-RU"/>
        </w:rPr>
        <w:t>Э</w:t>
      </w:r>
      <w:r>
        <w:rPr>
          <w:rFonts w:ascii="Times New Roman" w:hAnsi="Times New Roman"/>
          <w:b/>
          <w:bCs/>
          <w:sz w:val="24"/>
          <w:szCs w:val="24"/>
        </w:rPr>
        <w:t>лектроснабжение</w:t>
      </w:r>
      <w:r>
        <w:rPr>
          <w:rFonts w:ascii="Times New Roman" w:hAnsi="Times New Roman"/>
          <w:sz w:val="24"/>
          <w:szCs w:val="24"/>
        </w:rPr>
        <w:t>. В городе Новоалтайске система электроснабжения представлена совокупностью подстанций, распределительных устройств и соединяющих их линий электропередач</w:t>
      </w:r>
      <w:r>
        <w:rPr>
          <w:rFonts w:ascii="Times New Roman" w:hAnsi="Times New Roman"/>
          <w:color w:val="000000"/>
          <w:sz w:val="24"/>
          <w:szCs w:val="24"/>
        </w:rPr>
        <w:t>, предназначенных для передачи и распределения электрической энергии.</w:t>
      </w:r>
    </w:p>
    <w:p>
      <w:pPr>
        <w:pStyle w:val="Normal"/>
        <w:spacing w:lineRule="auto" w:line="240" w:before="0" w:after="0"/>
        <w:ind w:firstLine="567"/>
        <w:jc w:val="both"/>
        <w:rPr>
          <w:rFonts w:ascii="Times New Roman" w:hAnsi="Times New Roman"/>
          <w:b/>
          <w:b/>
          <w:bCs/>
          <w:sz w:val="24"/>
          <w:szCs w:val="24"/>
        </w:rPr>
      </w:pPr>
      <w:r>
        <w:rPr>
          <w:rFonts w:ascii="Times New Roman" w:hAnsi="Times New Roman"/>
          <w:sz w:val="24"/>
          <w:szCs w:val="24"/>
        </w:rPr>
        <w:t>Филиал «Алтайэнерго» ведет деятельность по транспорту и распределению электрической энергии потребителям. В состав филиала входят 8 производственных отделений, в том числе северо-восточные электрические сети в городе Новоалтайске.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«СК Алтайкрайэнерго» ведет свою деятельность в 9 городах и 81 населенном пункте Алтайского края. В состав компании входят девять филиалов, в том числе «Новоалтайские МЭС».</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ОАО «Алтайэнергосбыт» обслуживает Алтайский край и Республику Алтай, включает 8 межрайонных отделений, в том числе отделение «Новоалтайское». Организация является субъектом оптового рынка электрической энергии и мощности (ОРЭМ).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Крупными потребителями электроэнергии в городе Новоалтайске являются компании, названия которых приведены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8</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spacing w:lineRule="auto" w:line="276"/>
        <w:rPr/>
      </w:pPr>
      <w:r>
        <w:rPr/>
        <w:t>Крупные потребители электроэнергии</w:t>
      </w:r>
    </w:p>
    <w:tbl>
      <w:tblPr>
        <w:tblW w:w="9351" w:type="dxa"/>
        <w:jc w:val="left"/>
        <w:tblInd w:w="0" w:type="dxa"/>
        <w:tblLayout w:type="fixed"/>
        <w:tblCellMar>
          <w:top w:w="0" w:type="dxa"/>
          <w:left w:w="108" w:type="dxa"/>
          <w:bottom w:w="0" w:type="dxa"/>
          <w:right w:w="108" w:type="dxa"/>
        </w:tblCellMar>
        <w:tblLook w:val="00a0"/>
      </w:tblPr>
      <w:tblGrid>
        <w:gridCol w:w="557"/>
        <w:gridCol w:w="2132"/>
        <w:gridCol w:w="2304"/>
        <w:gridCol w:w="2121"/>
        <w:gridCol w:w="2237"/>
      </w:tblGrid>
      <w:tr>
        <w:trPr>
          <w:trHeight w:val="615" w:hRule="atLeast"/>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п/п</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Наименование потребителя</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Место расположения (адрес)</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Годовой объем электропотребления, млн кВт</w:t>
            </w:r>
            <w:r>
              <w:rPr>
                <w:rFonts w:eastAsia="Symbol" w:cs="Symbol" w:ascii="Symbol" w:hAnsi="Symbol"/>
                <w:sz w:val="20"/>
                <w:szCs w:val="20"/>
              </w:rPr>
              <w:t></w:t>
            </w:r>
            <w:r>
              <w:rPr>
                <w:rFonts w:ascii="Times New Roman" w:hAnsi="Times New Roman"/>
                <w:sz w:val="20"/>
                <w:szCs w:val="20"/>
              </w:rPr>
              <w:t>ч</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Максимум нагрузки (фактический), МВт</w:t>
            </w:r>
          </w:p>
        </w:tc>
      </w:tr>
      <w:tr>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ЗАО «Алтайкровля»</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ул. Вагоностроительная, д. 9</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38,336</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7,097</w:t>
            </w:r>
          </w:p>
        </w:tc>
      </w:tr>
      <w:tr>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ЗАО «Терминал»</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ул. Дорожная, д. 74</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3,634</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0,563</w:t>
            </w:r>
          </w:p>
        </w:tc>
      </w:tr>
      <w:tr>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ОАО «Новоалтайский хлебокомбинат»</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пер. Песчаный, д. 55</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2,821</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0,382</w:t>
            </w:r>
          </w:p>
        </w:tc>
      </w:tr>
      <w:tr>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ОАО «Белоярский мачтопропиточный завод»</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ул. Тимирязева, д. 150</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0,562</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0,274</w:t>
            </w:r>
          </w:p>
        </w:tc>
      </w:tr>
      <w:tr>
        <w:trPr/>
        <w:tc>
          <w:tcPr>
            <w:tcW w:w="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w:t>
            </w:r>
          </w:p>
        </w:tc>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ООО «Горем-3»</w:t>
            </w:r>
          </w:p>
        </w:tc>
        <w:tc>
          <w:tcPr>
            <w:tcW w:w="2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ул. Высоковольтная, д. 8</w:t>
            </w:r>
          </w:p>
        </w:tc>
        <w:tc>
          <w:tcPr>
            <w:tcW w:w="21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0,320</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0,086</w:t>
            </w:r>
          </w:p>
        </w:tc>
      </w:tr>
    </w:tbl>
    <w:p>
      <w:pPr>
        <w:pStyle w:val="Normal"/>
        <w:ind w:firstLine="567"/>
        <w:jc w:val="both"/>
        <w:rPr>
          <w:rFonts w:ascii="Times New Roman" w:hAnsi="Times New Roman"/>
          <w:b/>
          <w:b/>
          <w:bCs/>
          <w:sz w:val="24"/>
          <w:szCs w:val="24"/>
        </w:rPr>
      </w:pPr>
      <w:r>
        <w:rPr>
          <w:rFonts w:ascii="Times New Roman" w:hAnsi="Times New Roman"/>
          <w:b/>
          <w:bCs/>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Газоснабжение</w:t>
      </w:r>
      <w:r>
        <w:rPr>
          <w:rFonts w:ascii="Times New Roman" w:hAnsi="Times New Roman"/>
          <w:sz w:val="24"/>
          <w:szCs w:val="24"/>
        </w:rPr>
        <w:t>. Источником газоснабжения г. Новоалтайска является природный газ, транспортируемый по магистральному газопроводу Уренгой – Омск – Новосибирск через газораспределительную станцию (ГРС г. Новоалтайска), которая расположена в восточной части г. Новоалтайска (давление газа на выходе составляет 1,2МПа).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Для снижения давления газа с 1,2 МПа до 0,6 МПа предусмотрена установка четырех головных газорегуляторных пунктов (ГГРП-22, ГГРП-22А, ГГРП-23, ГГРП-23А). Для снижения давления с 0,6 МПа до 0,3 МПа существует ГГРП-22Б.</w:t>
      </w:r>
    </w:p>
    <w:p>
      <w:pPr>
        <w:pStyle w:val="Caption"/>
        <w:spacing w:before="0" w:after="0"/>
        <w:ind w:firstLine="567"/>
        <w:jc w:val="both"/>
        <w:rPr>
          <w:rFonts w:ascii="Times New Roman" w:hAnsi="Times New Roman"/>
          <w:i w:val="false"/>
          <w:i w:val="false"/>
          <w:iCs w:val="false"/>
          <w:color w:val="000000"/>
          <w:sz w:val="24"/>
          <w:szCs w:val="24"/>
        </w:rPr>
      </w:pPr>
      <w:r>
        <w:rPr>
          <w:rFonts w:ascii="Times New Roman" w:hAnsi="Times New Roman"/>
          <w:i w:val="false"/>
          <w:iCs w:val="false"/>
          <w:color w:val="000000"/>
          <w:sz w:val="24"/>
          <w:szCs w:val="24"/>
        </w:rPr>
        <w:t xml:space="preserve">Система газопроводов предусматривает использование газа всеми категориями потребителей. Направление использования газа приведено в Таблице </w:t>
      </w:r>
      <w:r>
        <w:rPr>
          <w:rFonts w:ascii="Times New Roman" w:hAnsi="Times New Roman"/>
          <w:i w:val="false"/>
          <w:iCs w:val="false"/>
          <w:color w:val="000000"/>
          <w:sz w:val="24"/>
          <w:szCs w:val="24"/>
        </w:rPr>
        <w:fldChar w:fldCharType="begin"/>
      </w:r>
      <w:r>
        <w:rPr>
          <w:sz w:val="24"/>
          <w:i w:val="false"/>
          <w:szCs w:val="24"/>
          <w:iCs w:val="false"/>
          <w:rFonts w:ascii="Times New Roman" w:hAnsi="Times New Roman"/>
          <w:color w:val="000000"/>
        </w:rPr>
        <w:instrText> SEQ Рисунок \* ARABIC </w:instrText>
      </w:r>
      <w:r>
        <w:rPr>
          <w:sz w:val="24"/>
          <w:i w:val="false"/>
          <w:szCs w:val="24"/>
          <w:iCs w:val="false"/>
          <w:rFonts w:ascii="Times New Roman" w:hAnsi="Times New Roman"/>
          <w:color w:val="000000"/>
        </w:rPr>
        <w:fldChar w:fldCharType="separate"/>
      </w:r>
      <w:r>
        <w:rPr>
          <w:sz w:val="24"/>
          <w:i w:val="false"/>
          <w:szCs w:val="24"/>
          <w:iCs w:val="false"/>
          <w:rFonts w:ascii="Times New Roman" w:hAnsi="Times New Roman"/>
          <w:color w:val="000000"/>
        </w:rPr>
        <w:t>9</w:t>
      </w:r>
      <w:r>
        <w:rPr>
          <w:sz w:val="24"/>
          <w:i w:val="false"/>
          <w:szCs w:val="24"/>
          <w:iCs w:val="false"/>
          <w:rFonts w:ascii="Times New Roman" w:hAnsi="Times New Roman"/>
          <w:color w:val="000000"/>
        </w:rPr>
        <w:fldChar w:fldCharType="end"/>
      </w:r>
      <w:r>
        <w:rPr>
          <w:rFonts w:ascii="Times New Roman" w:hAnsi="Times New Roman"/>
          <w:i w:val="false"/>
          <w:iCs w:val="false"/>
          <w:color w:val="000000"/>
          <w:sz w:val="24"/>
          <w:szCs w:val="24"/>
        </w:rPr>
        <w:t>.</w:t>
      </w:r>
    </w:p>
    <w:p>
      <w:pPr>
        <w:pStyle w:val="Style52"/>
        <w:numPr>
          <w:ilvl w:val="0"/>
          <w:numId w:val="4"/>
        </w:numPr>
        <w:spacing w:lineRule="auto" w:line="240"/>
        <w:ind w:left="2058" w:hanging="357"/>
        <w:rPr/>
      </w:pPr>
      <w:r>
        <w:rPr/>
        <w:t>Направления использования природного газа в городе Новоалтайске</w:t>
      </w:r>
    </w:p>
    <w:tbl>
      <w:tblPr>
        <w:tblW w:w="9345" w:type="dxa"/>
        <w:jc w:val="center"/>
        <w:tblInd w:w="0" w:type="dxa"/>
        <w:tblLayout w:type="fixed"/>
        <w:tblCellMar>
          <w:top w:w="0" w:type="dxa"/>
          <w:left w:w="108" w:type="dxa"/>
          <w:bottom w:w="0" w:type="dxa"/>
          <w:right w:w="108" w:type="dxa"/>
        </w:tblCellMar>
        <w:tblLook w:val="0000"/>
      </w:tblPr>
      <w:tblGrid>
        <w:gridCol w:w="561"/>
        <w:gridCol w:w="3403"/>
        <w:gridCol w:w="5381"/>
      </w:tblGrid>
      <w:tr>
        <w:trPr>
          <w:trHeight w:val="273" w:hRule="atLeast"/>
        </w:trPr>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34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Потребность</w:t>
            </w:r>
          </w:p>
        </w:tc>
        <w:tc>
          <w:tcPr>
            <w:tcW w:w="53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Назначение, использование газа</w:t>
            </w:r>
          </w:p>
        </w:tc>
      </w:tr>
      <w:tr>
        <w:trPr>
          <w:trHeight w:val="77" w:hRule="atLeast"/>
        </w:trPr>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w:t>
            </w:r>
          </w:p>
        </w:tc>
        <w:tc>
          <w:tcPr>
            <w:tcW w:w="34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Население</w:t>
            </w:r>
          </w:p>
        </w:tc>
        <w:tc>
          <w:tcPr>
            <w:tcW w:w="53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Приготовление пищи, горячей воды для хозяйственных и санитарно-гигиенических нужд и отопления</w:t>
            </w:r>
          </w:p>
        </w:tc>
      </w:tr>
      <w:tr>
        <w:trPr>
          <w:trHeight w:val="77" w:hRule="atLeast"/>
        </w:trPr>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w:t>
            </w:r>
          </w:p>
        </w:tc>
        <w:tc>
          <w:tcPr>
            <w:tcW w:w="34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Учреждения здравоохранения, детские, учебные и коммунально-бытовые предприятия и учреждения</w:t>
            </w:r>
          </w:p>
        </w:tc>
        <w:tc>
          <w:tcPr>
            <w:tcW w:w="53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Приготовление пищи, горячей воды для хозяйственных и санитарно-гигиенических нужд и отопления</w:t>
            </w:r>
          </w:p>
        </w:tc>
      </w:tr>
      <w:tr>
        <w:trPr>
          <w:trHeight w:val="415" w:hRule="atLeast"/>
        </w:trPr>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3</w:t>
            </w:r>
          </w:p>
        </w:tc>
        <w:tc>
          <w:tcPr>
            <w:tcW w:w="34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Местные и районные котельные и отопительные печи</w:t>
            </w:r>
          </w:p>
        </w:tc>
        <w:tc>
          <w:tcPr>
            <w:tcW w:w="53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Отопление жилого и общественного фонда</w:t>
            </w:r>
          </w:p>
        </w:tc>
      </w:tr>
      <w:tr>
        <w:trPr>
          <w:trHeight w:val="246" w:hRule="atLeast"/>
        </w:trPr>
        <w:tc>
          <w:tcPr>
            <w:tcW w:w="5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w:t>
            </w:r>
          </w:p>
        </w:tc>
        <w:tc>
          <w:tcPr>
            <w:tcW w:w="34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Промышленные предприятия</w:t>
            </w:r>
          </w:p>
        </w:tc>
        <w:tc>
          <w:tcPr>
            <w:tcW w:w="53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Отопление, вентиляция и технологические нужды</w:t>
            </w:r>
          </w:p>
        </w:tc>
      </w:tr>
    </w:tbl>
    <w:p>
      <w:pPr>
        <w:pStyle w:val="Normal"/>
        <w:spacing w:lineRule="auto" w:line="276"/>
        <w:ind w:firstLine="567"/>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Газ от ГРС поступает на головные газорегуляторные пункты, районные газорегуляторные пункты, газорегуляторные установки промышленных и коммунально-бытовых потребителей.  В городе принято четырехступенчатое распределение газа:</w:t>
      </w:r>
    </w:p>
    <w:p>
      <w:pPr>
        <w:pStyle w:val="Style47"/>
        <w:numPr>
          <w:ilvl w:val="0"/>
          <w:numId w:val="8"/>
        </w:numPr>
        <w:spacing w:before="0" w:after="0"/>
        <w:ind w:left="1" w:firstLine="567"/>
        <w:rPr/>
      </w:pPr>
      <w:r>
        <w:rPr/>
        <w:t>1 ступень – газопровод высокого давления 1 категории (Р = до 1,2 МПа) от ГРС;</w:t>
      </w:r>
    </w:p>
    <w:p>
      <w:pPr>
        <w:pStyle w:val="Style47"/>
        <w:numPr>
          <w:ilvl w:val="0"/>
          <w:numId w:val="8"/>
        </w:numPr>
        <w:spacing w:before="0" w:after="0"/>
        <w:ind w:left="1" w:firstLine="567"/>
        <w:rPr/>
      </w:pPr>
      <w:r>
        <w:rPr/>
        <w:t>2 ступень – газопровод высокого давления I1 категории (Р до 0,6 МПа) по городу;</w:t>
      </w:r>
    </w:p>
    <w:p>
      <w:pPr>
        <w:pStyle w:val="Style47"/>
        <w:numPr>
          <w:ilvl w:val="0"/>
          <w:numId w:val="8"/>
        </w:numPr>
        <w:spacing w:before="0" w:after="0"/>
        <w:ind w:left="1" w:firstLine="567"/>
        <w:rPr/>
      </w:pPr>
      <w:r>
        <w:rPr/>
        <w:t>ступень- газопроводы среднего давления 1 категории (Р = до 0,3 МПа) по городу и от ГРП-22Б;</w:t>
      </w:r>
    </w:p>
    <w:p>
      <w:pPr>
        <w:pStyle w:val="Style47"/>
        <w:numPr>
          <w:ilvl w:val="0"/>
          <w:numId w:val="8"/>
        </w:numPr>
        <w:spacing w:before="0" w:after="0"/>
        <w:ind w:left="1" w:firstLine="567"/>
        <w:rPr/>
      </w:pPr>
      <w:r>
        <w:rPr/>
        <w:t>ступень- газопроводы низкого давления (Р = до 500 мм водяного столба).</w:t>
      </w:r>
    </w:p>
    <w:p>
      <w:pPr>
        <w:pStyle w:val="Style47"/>
        <w:numPr>
          <w:ilvl w:val="0"/>
          <w:numId w:val="0"/>
        </w:numPr>
        <w:spacing w:before="0" w:after="0"/>
        <w:ind w:left="0" w:firstLine="567"/>
        <w:rPr/>
      </w:pPr>
      <w:r>
        <w:rPr/>
        <w:t>К газопроводам высокого давления подключаются крупные отопительные котельные, крупные промышленные предприятия, газорегуляторные пункты (ГРП), крупные коммунально-бытовые потребители.</w:t>
      </w:r>
    </w:p>
    <w:p>
      <w:pPr>
        <w:pStyle w:val="Style47"/>
        <w:numPr>
          <w:ilvl w:val="0"/>
          <w:numId w:val="0"/>
        </w:numPr>
        <w:spacing w:before="0" w:after="0"/>
        <w:ind w:left="0" w:firstLine="567"/>
        <w:rPr/>
      </w:pPr>
      <w:r>
        <w:rPr/>
        <w:t>К газопроводам среднего давления подключаются мелкие коммунально-бытовые потребители, ГРП для жилых домов.</w:t>
      </w:r>
    </w:p>
    <w:p>
      <w:pPr>
        <w:pStyle w:val="Style47"/>
        <w:numPr>
          <w:ilvl w:val="0"/>
          <w:numId w:val="0"/>
        </w:numPr>
        <w:spacing w:before="0" w:after="0"/>
        <w:ind w:left="0" w:firstLine="567"/>
        <w:rPr/>
      </w:pPr>
      <w:r>
        <w:rPr/>
        <w:t>К газопроводам низкого давления Р = 500 мм водяного столба подключаются жилые дома, мелкие коммунально-бытовые потребители.</w:t>
      </w:r>
    </w:p>
    <w:p>
      <w:pPr>
        <w:pStyle w:val="Style47"/>
        <w:numPr>
          <w:ilvl w:val="0"/>
          <w:numId w:val="0"/>
        </w:numPr>
        <w:spacing w:before="0" w:after="0"/>
        <w:ind w:left="0" w:firstLine="567"/>
        <w:rPr/>
      </w:pPr>
      <w:r>
        <w:rPr/>
        <w:t>Согласно схеме газоснабжения, разработанной Новосибирским филиалом ОАО “ГИПРОНИИГАЗ” рассматриваются только газопроводы высокого давления (0,6МПа). Трассировка этих газопроводов согласована с администрацией г. Новоалтайска и ОАО “Алтайгазпром”. Газопроводы среднего и низкого давлений разрабатываются в дальнейшем на стадии рабочего проекта.</w:t>
      </w:r>
    </w:p>
    <w:p>
      <w:pPr>
        <w:pStyle w:val="Style47"/>
        <w:numPr>
          <w:ilvl w:val="0"/>
          <w:numId w:val="0"/>
        </w:numPr>
        <w:spacing w:before="0" w:after="0"/>
        <w:ind w:left="0" w:firstLine="567"/>
        <w:rPr/>
      </w:pPr>
      <w:r>
        <w:rPr/>
        <w:t>Для газоснабжения г. Новоалтайска используется природный газ по ГОСТ 5542-87 «Газ горючий природный для промышленного и коммунально-бытового назначения». Низшая теплотворная способность природного газа составляет 8040 ккал/м3.</w:t>
      </w:r>
    </w:p>
    <w:p>
      <w:pPr>
        <w:pStyle w:val="Style47"/>
        <w:numPr>
          <w:ilvl w:val="0"/>
          <w:numId w:val="0"/>
        </w:numPr>
        <w:spacing w:before="0" w:after="0"/>
        <w:ind w:left="0" w:firstLine="567"/>
        <w:rPr/>
      </w:pPr>
      <w:r>
        <w:rPr/>
        <w:t xml:space="preserve">Реализацию газа и расчеты с покупателями в Алтайском крае осуществляет филиал ООО "Газпром межрегионгаз Новосибирск» – «Алтайрегионгаз». На территории городского округа реализуется муниципальная программа «Газификация города Новоалтайска на 2021-2025 годы» </w:t>
      </w:r>
    </w:p>
    <w:p>
      <w:pPr>
        <w:pStyle w:val="2"/>
        <w:numPr>
          <w:ilvl w:val="0"/>
          <w:numId w:val="0"/>
        </w:numPr>
        <w:spacing w:before="0" w:after="0"/>
        <w:ind w:left="0" w:right="-1" w:firstLine="567"/>
        <w:rPr>
          <w:sz w:val="24"/>
          <w:szCs w:val="24"/>
        </w:rPr>
      </w:pPr>
      <w:bookmarkStart w:id="35" w:name="_Toc142575255"/>
      <w:bookmarkStart w:id="36" w:name="_Toc135662174"/>
      <w:r>
        <w:rPr>
          <w:sz w:val="24"/>
          <w:szCs w:val="24"/>
        </w:rPr>
        <w:t>2.5. Экологическое состояние</w:t>
      </w:r>
      <w:bookmarkEnd w:id="35"/>
      <w:bookmarkEnd w:id="36"/>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современных условиях экологическую составляющую следует рассматривать как один из потенциалов перспективного развития района. Обследование территории района показало, что источниками нарушений природной среды являются:</w:t>
      </w:r>
    </w:p>
    <w:p>
      <w:pPr>
        <w:pStyle w:val="Style47"/>
        <w:numPr>
          <w:ilvl w:val="0"/>
          <w:numId w:val="8"/>
        </w:numPr>
        <w:spacing w:before="0" w:after="0"/>
        <w:ind w:left="1" w:firstLine="567"/>
        <w:rPr/>
      </w:pPr>
      <w:r>
        <w:rPr/>
        <w:t>хозяйственная деятельность, сопровождающаяся изменением естественного баланса экосистем, их главных компонентов – почв, воздуха, вод и биоты (растительного и животного мира);</w:t>
      </w:r>
    </w:p>
    <w:p>
      <w:pPr>
        <w:pStyle w:val="Style47"/>
        <w:numPr>
          <w:ilvl w:val="0"/>
          <w:numId w:val="8"/>
        </w:numPr>
        <w:spacing w:before="0" w:after="0"/>
        <w:ind w:left="1" w:firstLine="567"/>
        <w:rPr/>
      </w:pPr>
      <w:r>
        <w:rPr/>
        <w:t>динамика природной среды в условиях чрезвычайных ситуаций.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целом экологическое состояние района вполне благополучное, однако, существует ряд факторов, значительно влияющих на качественное состояние территории.</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На территории края выявлен ряд локальных источников с высоким уровнем радиации от 100 мкР/ч до 1,3 Р/ч, приняты меры по их обезвреживанию. Проблемным остается вопрос захоронения 3500 тонн бериллиевого концентрата, хранящегося на складах комбината «Аврора» г. Новоалтайска. Бериллиевый концентрат, согласно Нормам радиационной безопасности (НРБ - 96), относится к классу радиоактивных веществ. Размещен концентрат более 30 лет в легких деревянных складах постройки 1941 -1943 годов. Радиоактивность была обнаружена в 1991 г при проведении аэрогаммасъемки с мощностью экспозиционной дозы 150 – 1000 мкР/ ч. Большую опасность концентрат представляет в случае возникновения чрезвычайных ситуаций (пожар, ураган и др.).</w:t>
      </w:r>
    </w:p>
    <w:p>
      <w:pPr>
        <w:pStyle w:val="2"/>
        <w:numPr>
          <w:ilvl w:val="0"/>
          <w:numId w:val="0"/>
        </w:numPr>
        <w:spacing w:before="0" w:after="0"/>
        <w:ind w:left="0" w:firstLine="567"/>
        <w:rPr>
          <w:sz w:val="24"/>
          <w:szCs w:val="24"/>
        </w:rPr>
      </w:pPr>
      <w:bookmarkStart w:id="37" w:name="_Toc142575256"/>
      <w:bookmarkStart w:id="38" w:name="_Toc135662175"/>
      <w:r>
        <w:rPr>
          <w:sz w:val="24"/>
          <w:szCs w:val="24"/>
        </w:rPr>
        <w:t>2.6. Комплексная оценка и проблемы развития территории</w:t>
      </w:r>
      <w:bookmarkEnd w:id="37"/>
      <w:bookmarkEnd w:id="38"/>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Территория городского округа не использует на 100% свое географическое положение (совместные границы с крупнейшим городом края). Проектом генплана г. Барнаула 1980 года была предложена идея перехода селитебных территорий города на правый берег р. Оби, к сожалению, до сих пор не выполненная. Отголоском этой планировочной концепции является строительство объездной дороги Барнаул-Новоалтайск и нового моста через Обь - короткой транспортной связи с выходом на Новосибирскую трассу.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связи с этим правильно принять за основу базисный принцип расселения данной территории, как агломерации и рассматривать город – центр и пригородные зоны, как единое место расселения.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Часть территории вдоль транспортной магистрали М-52 «Чуйский тракт» на востоке городского округа, из-за недоступности продвижения сельхозтехники и  загрязнения почвы выбросами транспорта, становится непригодной для выращивания с/х продукции, скота (ферма КРС),  но относится к землям Первомайского района. Кроме этого, на данных территориях расположен ряд садоводческих товариществ. Одновременно имеется острая потребность в участках для размещения объектов дорожного сервиса и усадебного жилищного строительства. В решении первостепенных задач по экономическому развитию города все большее значение приобретает проблема решительного изменения, прежде всего инженерно-транспортной инфраструктуры и бережное отношение к использованию прилегающих незастроенных территорий МО. Расположенные в акватории р. Оби территории требуют озеленения и рекреационного развития, возведения объектов отдыха и спорта с целью оздоровления экологического климата города, перенасыщенного выбросами автомобильного и железнодорожного транспорта и производства. Кроме этого, лесополосы защитят город от господствующих ветров.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Озеленение городских территорий недостаточно. Положительный экологический микроклимат городу дает акватория реки Старая Обь и организация здесь зоны отдыха, пляжей, детских спортивных игровых комплексов, что является для города актуальным. Важнейшим звеном в развитии этих рекреационных территорий становится создание охранной зоны памятника истории - Белоярской крепости.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 городе востребованы земли для усадебного жилищного строительства с целью выполнения программы национального проекта «Доступное комфортное жильё гражданам России». Усадебное строительство интенсивно ведется на территории прилегающего МО «Березовское сельское поселение». Это позволяет говорить о перспективном возможном территориальном слиянии данного населенного пункта с городом Новоалтайск. В этом случае ощутимую потребность города в рекреационных зонах для проведения ярмарок, гуляний, спортивных мероприятиях можно будет решать на привлекательных для этих целей территориях пос. Бажова Заимка.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Объектом внешней зоны является полигон ТБО расчетной площадью 17,0 га, существующий полигон площадью 10,5 га расположен на 4 км по автодороге на Заринск. Увеличение площади возможно за счет прилегающих территорий.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Поселок Белоярск территориально вошел в границы города, но с точки зрения инженерной инфраструктуры не является с ним единым целым. Для этого необходимо улицу Барнаульскую выполнить в красных линиях, как главную центральную магистраль города, объединяющую городской центр с подцентрами Белоярского и Центрального жилых районов. Одновременно создавая единую систему озеленения с выходом на лесной массив, чистые воздушные потоки и рекреационную зону отдыха. Территория Белоярского жилого района имеет отличные градостроительные аспекты для развития индивидуального малоэтажного жилищного строительства, которого так не хватает городу. Проектом градостроительной концепции селитебные территории этого района предлагается развивать до защитной полосы от автомобильной трассы М-52 «Чуйский тракт».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Вся методология градостроительного проектирования должна рассматриваться с позиции средового подхода, обусловленного синтезом трех компонентов: естественная или природная среда, искусственная или антропогенная среда, социально–экономическая или инфраструктурная среда, насыщенная общественно–бытовыми и производственными функциями. От этого повышается жизненный уровень населения, производительность объектов промышленного комплекса и экономический потенциал МО в целом.</w:t>
      </w:r>
    </w:p>
    <w:p>
      <w:pPr>
        <w:pStyle w:val="3"/>
        <w:keepNext w:val="true"/>
        <w:tabs>
          <w:tab w:val="clear" w:pos="4677"/>
          <w:tab w:val="clear" w:pos="9355"/>
          <w:tab w:val="left" w:pos="1276" w:leader="none"/>
        </w:tabs>
        <w:ind w:firstLine="709"/>
        <w:jc w:val="both"/>
        <w:rPr>
          <w:rFonts w:ascii="Times New Roman" w:hAnsi="Times New Roman" w:eastAsia="Times New Roman"/>
          <w:b/>
          <w:b/>
          <w:bCs/>
          <w:sz w:val="24"/>
          <w:szCs w:val="24"/>
          <w:lang w:eastAsia="ru-RU"/>
        </w:rPr>
      </w:pPr>
      <w:bookmarkStart w:id="39" w:name="_Toc142575257"/>
      <w:bookmarkStart w:id="40" w:name="_Toc135662176"/>
      <w:r>
        <w:rPr>
          <w:rFonts w:eastAsia="Times New Roman" w:ascii="Times New Roman" w:hAnsi="Times New Roman"/>
          <w:b/>
          <w:bCs/>
          <w:sz w:val="24"/>
          <w:szCs w:val="24"/>
        </w:rPr>
        <w:t xml:space="preserve">2.7. </w:t>
      </w:r>
      <w:r>
        <w:rPr>
          <w:rFonts w:eastAsia="Times New Roman" w:ascii="Times New Roman" w:hAnsi="Times New Roman"/>
          <w:b/>
          <w:bCs/>
          <w:sz w:val="24"/>
          <w:szCs w:val="24"/>
          <w:lang w:eastAsia="ru-RU"/>
        </w:rPr>
        <w:t>Градообразующая база и социально-экономический потенциал перспективного развития городского округа</w:t>
      </w:r>
      <w:bookmarkEnd w:id="39"/>
      <w:bookmarkEnd w:id="40"/>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Ведущее место в экономике города занимает промышленность и железнодорожный транспорт, что составляет 45 % от всей градообразующей группы населения.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Промышленная специализация города – вагоностроение. За период 2007 года ОАО «Алтайвагон» произвел 6757 вагонов, получил прибыль 609 791 тыс. рублей, численность работающих составила 4212 человек. В период расчетного срока настоящего генерального плана предполагается дальнейшее развитие промышленности города за счет реконструкции действующих предприятий, намечается строительство и открытие новых отраслей промышленности, без увеличения общей площади южного и северного промышленных узлов. Это связано с развитием другой немаловажной отрасли промышленности, как деревообработка и производство строительных материалов.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ОАО «Новоалтайский завод железобетонных изделий им. Иванова Г. С.» организованный в 1960 году, увеличил валовую прибыль 109 352 тыс. рублей за 2007 год, повысил рентабельность продукции - 2,9 тыс. рублей, численность работающих - 559 человек. Среднемесячная заработная плата работающих составляет 14,5 тыс. рублей. С увеличением объемов строительства завод железобетонных изделий треста «Алтайстройиндустрия» продолжает увеличивать объемы выпускаемой продукции. В связи с этим проектируется дальнейшее расширение завода.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ЗАО «Алтайкровля» при полном освоении производственных мощностей на 2007 год имеет объем производства: 39 597 тонн картона, 20 929 тыс. м² кровельного и изоляционного материала. Объем валовой прибыли на период 2007 года составляет порядка 150 456 тыс.рублей в год при численности персонала и рабочих 1881 человек. Среднемесячная заработная плата работающих составляет 10,5 тыс. рублей.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ОАО «Белоярский мачтопропиточный завод» выпускает 67,0 тыс. м³ антисептированных глубокой пропиткой шпал, рентабельность 1,9 тыс. рублей, прибыль 16 954 тыс. рублей в год, работающих 284 человека, среднемесячную заработную плату 11,7 тыс. рублей. Новоалтайск имеет самый крупный в крае железнодорожный транспортный узел. Численность рабочих мест, занятых на железнодорожном транспорте, составляет 8,0 тыс. человек. Общая численность кадров, занятых на автомобильном транспорте, составляет порядка 4240 человек. В дальнейшем, в связи с усилением внешних хозяйственных и производственных связей города, следует ожидать дальнейшего увеличения численности кадров автомобильного транспорта.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Пищевая промышленность города представлена двумя крупными предприятиями. Это ООО маслозавод «Леко» и ОАО «Новоалтайский хлебокомбинат». За год гормолзавод выпускает 13,0 тыс. тонн цельномолочной и 1,5 тыс. тонн нежирной продукции. Хлебокомбинат производит 2934,5. тонн хлебобулочных и 954 тонны кондитерских изделий в год, получает валовую прибыль 16 505 тыс. рублей в год. 290 человек, работающих в пищевой промышленности, получают среднемесячную заработную плату 5816 рублей. Норма потребления хлеба в среднем по России составляет 102 кг хлебобулочных изделий на душу населения в год. Отсюда потребность в хлебе для города Новоалтайска и прилегающих населенных пунктов составит 12 250 тонн в год, что соответствует мощности хлебозавода.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К прочим отраслям промышленности отнесены: обслуживающие коммунальные предприятия и типография. В настоящее время в связи с тем, что город имеет хорошие транспортные связи (железнодорожный и автомобильный транспортный узел) востребованы прилегающие к ним участки для производственных объектов оптовой торговли, автосервиса и т.д.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период расчетного срока данная отрасль намечена к увеличению до 0,6 тыс. человек. На предприятиях ОКВЭД, связанных с производством, передачей, распределением электроэнергии, газа, пара и горячей воды работает в настоящее время 921 человек.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Средние специальные учебные заведения – медицинское училище обучает 199 учащихся, художественное училище – 155 учащихся, техникум железнодорожного транспорта 711 учащихся. Кроме этого, в городе открылись филиалы АГТУ им. Ползунова и Новосибирского института железнодорожного транспорта. Численность студентов – 400 человек.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Административные, общественно-хозяйственные и управленческие организации города и Первомайского района составляют 400 человек.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Кроме этого, порядка 7-10 % трудоспособного населения города работает и учится на предприятиях г. Барнаула и, учитывая высокую потребность в кадрах краевого центра, а также удобную транспортную связь между городами и стабильное притяжение крупного города по формированию на данной территории агломерации такая тенденция будет сохраняться. В настоящее время речь идет о формировании на данной территории агломерации, как с г. Барнаулом, так и прилегающими территориями МО сельских поселений. Процесс формирования агломерации вокруг крупных городов появляется повсеместно. Такое «мигрирующее» население составляет 20-30% от градообразующего и нетрудоспособного населения городского округа.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По проекту территориального планирования Алтайского края города Барнаул и Новоалтайск отнесены к межрегиональным центрам межселенного обслуживания, что предполагает размещение учреждений периодического и эпизодического пользования, предназначенных для обслуживания, тяготеющего к ним населения из прилегающих МО.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Учитывая повышение культурного и образовательного уровня населения, количество трудящихся в учреждениях данной отрасли составит 600 человек. В настоящее время в г. Новоалтайск находятся два учреждения отдыха и здравоохранения: туберкулезный санаторий на 200 мест и школа-интернат для слабослышащих детей на 300 мест. Персонал этих учреждений составляет порядка 200 человек. Прочие градообразующие кадры внегородского значения: эксплуатационно-технический узел связи, отряд пожарной охраны, участок СВЭС и другие. В настоящее время численность указанной группы составляет порядка 200 человек.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Для Алтайского края, как и в целом для России, характерна тенденция старения. Численность населения старше трудоспособного возраста (женщины 55 лет и старше, мужчины 60 лет и старше) превышает численность населения моложе трудоспособного возраста (до 15 лет включительно) – 27,8% против 19,1. В Новоалтайске эта тенденция проявляется слабее: 18,9% против 16,9%.</w:t>
      </w:r>
      <w:r>
        <w:rPr/>
        <w:t xml:space="preserve">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Распределение населения по возрастным группам представлено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10</w:t>
      </w:r>
      <w:r>
        <w:rPr>
          <w:sz w:val="24"/>
          <w:szCs w:val="24"/>
          <w:rFonts w:ascii="Times New Roman" w:hAnsi="Times New Roman"/>
        </w:rPr>
        <w:fldChar w:fldCharType="end"/>
      </w:r>
    </w:p>
    <w:p>
      <w:pPr>
        <w:pStyle w:val="Style52"/>
        <w:numPr>
          <w:ilvl w:val="0"/>
          <w:numId w:val="4"/>
        </w:numPr>
        <w:rPr/>
      </w:pPr>
      <w:r>
        <w:rPr/>
        <w:t>Возрастная структура населения городского округа</w:t>
      </w:r>
    </w:p>
    <w:tbl>
      <w:tblPr>
        <w:tblW w:w="9345" w:type="dxa"/>
        <w:jc w:val="left"/>
        <w:tblInd w:w="0" w:type="dxa"/>
        <w:tblLayout w:type="fixed"/>
        <w:tblCellMar>
          <w:top w:w="0" w:type="dxa"/>
          <w:left w:w="108" w:type="dxa"/>
          <w:bottom w:w="0" w:type="dxa"/>
          <w:right w:w="108" w:type="dxa"/>
        </w:tblCellMar>
        <w:tblLook w:val="00a0"/>
      </w:tblPr>
      <w:tblGrid>
        <w:gridCol w:w="561"/>
        <w:gridCol w:w="2837"/>
        <w:gridCol w:w="2125"/>
        <w:gridCol w:w="1842"/>
        <w:gridCol w:w="1980"/>
      </w:tblGrid>
      <w:tr>
        <w:trPr/>
        <w:tc>
          <w:tcPr>
            <w:tcW w:w="5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п/п</w:t>
            </w:r>
          </w:p>
        </w:tc>
        <w:tc>
          <w:tcPr>
            <w:tcW w:w="28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Возрастные группы населения</w:t>
            </w:r>
          </w:p>
        </w:tc>
        <w:tc>
          <w:tcPr>
            <w:tcW w:w="594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Удельный вес возрастных групп</w:t>
            </w:r>
          </w:p>
        </w:tc>
      </w:tr>
      <w:tr>
        <w:trPr/>
        <w:tc>
          <w:tcPr>
            <w:tcW w:w="5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1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Существующее</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положение (чел)</w:t>
            </w:r>
          </w:p>
        </w:tc>
        <w:tc>
          <w:tcPr>
            <w:tcW w:w="382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от общей численности населения</w:t>
            </w:r>
          </w:p>
        </w:tc>
      </w:tr>
      <w:tr>
        <w:trPr/>
        <w:tc>
          <w:tcPr>
            <w:tcW w:w="5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Существующий %</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9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Проектируемый %*</w:t>
            </w:r>
          </w:p>
        </w:tc>
      </w:tr>
      <w:tr>
        <w:trPr/>
        <w:tc>
          <w:tcPr>
            <w:tcW w:w="56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r>
          </w:p>
        </w:tc>
        <w:tc>
          <w:tcPr>
            <w:tcW w:w="28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Всего, в том числе:</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74 556</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100</w:t>
            </w:r>
          </w:p>
        </w:tc>
        <w:tc>
          <w:tcPr>
            <w:tcW w:w="19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100</w:t>
            </w:r>
          </w:p>
        </w:tc>
      </w:tr>
      <w:tr>
        <w:trPr/>
        <w:tc>
          <w:tcPr>
            <w:tcW w:w="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1</w:t>
            </w:r>
          </w:p>
        </w:tc>
        <w:tc>
          <w:tcPr>
            <w:tcW w:w="28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Дети 0-15 лет</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12 600</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16,9</w:t>
            </w:r>
          </w:p>
        </w:tc>
        <w:tc>
          <w:tcPr>
            <w:tcW w:w="19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26,0</w:t>
            </w:r>
          </w:p>
        </w:tc>
      </w:tr>
      <w:tr>
        <w:trPr/>
        <w:tc>
          <w:tcPr>
            <w:tcW w:w="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2</w:t>
            </w:r>
          </w:p>
        </w:tc>
        <w:tc>
          <w:tcPr>
            <w:tcW w:w="28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Трудоспособный возраст 16-54(59)</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47 567</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63,8</w:t>
            </w:r>
          </w:p>
        </w:tc>
        <w:tc>
          <w:tcPr>
            <w:tcW w:w="19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56,0</w:t>
            </w:r>
          </w:p>
        </w:tc>
      </w:tr>
      <w:tr>
        <w:trPr/>
        <w:tc>
          <w:tcPr>
            <w:tcW w:w="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3</w:t>
            </w:r>
          </w:p>
        </w:tc>
        <w:tc>
          <w:tcPr>
            <w:tcW w:w="28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Старше трудоспособного возраста</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14 091</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18,9</w:t>
            </w:r>
          </w:p>
        </w:tc>
        <w:tc>
          <w:tcPr>
            <w:tcW w:w="19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18,0</w:t>
            </w:r>
          </w:p>
        </w:tc>
      </w:tr>
      <w:tr>
        <w:trPr/>
        <w:tc>
          <w:tcPr>
            <w:tcW w:w="9345" w:type="dxa"/>
            <w:gridSpan w:val="5"/>
            <w:tcBorders>
              <w:top w:val="single" w:sz="4" w:space="0" w:color="000000"/>
            </w:tcBorders>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 xml:space="preserve">*на основании Генерального плана 2009 г. </w:t>
            </w:r>
            <w:bookmarkStart w:id="41" w:name="_Hlk68777243"/>
            <w:bookmarkEnd w:id="41"/>
          </w:p>
        </w:tc>
      </w:tr>
    </w:tbl>
    <w:p>
      <w:pPr>
        <w:pStyle w:val="Normal"/>
        <w:jc w:val="both"/>
        <w:rPr>
          <w:rFonts w:ascii="Times New Roman" w:hAnsi="Times New Roman"/>
          <w:sz w:val="24"/>
          <w:szCs w:val="24"/>
        </w:rPr>
      </w:pPr>
      <w:r>
        <w:rPr>
          <w:rFonts w:ascii="Times New Roman" w:hAnsi="Times New Roman"/>
          <w:sz w:val="24"/>
          <w:szCs w:val="24"/>
        </w:rPr>
      </w:r>
    </w:p>
    <w:p>
      <w:pPr>
        <w:pStyle w:val="3"/>
        <w:keepNext w:val="true"/>
        <w:tabs>
          <w:tab w:val="clear" w:pos="4677"/>
          <w:tab w:val="clear" w:pos="9355"/>
          <w:tab w:val="left" w:pos="1276" w:leader="none"/>
        </w:tabs>
        <w:ind w:firstLine="709"/>
        <w:jc w:val="both"/>
        <w:rPr>
          <w:rFonts w:ascii="Times New Roman" w:hAnsi="Times New Roman" w:eastAsia="Times New Roman"/>
          <w:b/>
          <w:b/>
          <w:bCs/>
          <w:sz w:val="24"/>
          <w:szCs w:val="24"/>
        </w:rPr>
      </w:pPr>
      <w:bookmarkStart w:id="42" w:name="_Toc142575258"/>
      <w:bookmarkStart w:id="43" w:name="_Toc135662177"/>
      <w:r>
        <w:rPr>
          <w:rFonts w:eastAsia="Times New Roman" w:ascii="Times New Roman" w:hAnsi="Times New Roman"/>
          <w:b/>
          <w:bCs/>
          <w:sz w:val="24"/>
          <w:szCs w:val="24"/>
        </w:rPr>
        <w:t xml:space="preserve">2.8. </w:t>
      </w:r>
      <w:r>
        <w:rPr>
          <w:rFonts w:eastAsia="Times New Roman" w:ascii="Times New Roman" w:hAnsi="Times New Roman"/>
          <w:b/>
          <w:bCs/>
          <w:sz w:val="24"/>
          <w:szCs w:val="24"/>
          <w:lang w:eastAsia="ru-RU"/>
        </w:rPr>
        <w:t xml:space="preserve">Анализ экономического развития </w:t>
      </w:r>
      <w:r>
        <w:rPr>
          <w:rFonts w:eastAsia="Times New Roman" w:ascii="Times New Roman" w:hAnsi="Times New Roman"/>
          <w:b/>
          <w:bCs/>
          <w:sz w:val="24"/>
          <w:szCs w:val="24"/>
        </w:rPr>
        <w:t>городского округа город Новоалтайск по итогам 2019 года</w:t>
      </w:r>
      <w:bookmarkEnd w:id="42"/>
      <w:bookmarkEnd w:id="43"/>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Анализ итогов 2019 года свидетельствует о продуктивном социально-экономическом развитии городского округа. Город Новоалтайск по функциональному типу является промышленным городом. Более 83% объема промышленного производства на всей территории приходится на отрасли обрабатывающих производств, 3,4% производства в промышленности приходится на обеспечение электрической энергией, газом и паром, кондиционирование воздуха.</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Крупными промышленными предприятиями являются: АО «Алтайвагон» (градообразующее предприятие); АО «Белоярский мачтопропиточный завод» (производство опор и приставок для линий электропередач, деревянных шпал и др.); АО «Новоалтайский завод мостовых конструкций» (производство мостовых конструкций и изделий из бетона); АО «Новоалтайский хлебокомбинат» (производство хлеба, хлебобулочных, макаронных и кондитерских изделий). По итогам 2019 года объем отгруженных товаров собственного производства, выполненных работ и услуг по кругу крупных и средних организаций составил 34,7 млрд. рублей, в том числе 28,9 млрд. рублей – в обрабатывающих производствах. Увеличение производства (по сравнению с 2018 годом) наблюдается в производстве муки из зерновых культур, хлебобулочных и кондитерских изделий, спецодежды, кислорода, блоков и прочих изделий сборных строительных для зданий и сооружений из цемента, бетона и искусственного камня, бетона готового для заливки. Снижено производство бумаги туалетной из бумажной массы, вагонов грузовых крытых, пара и горячей воды. До 2015 года на предприятии АО «Алтайвагон» на протяжении нескольких лет наблюдалось ежегодное снижение численности выпускаемых вагонов, связанное со спадом спроса на грузовые вагоны из-за перенасыщения рынка данной продукцией, а также сокращения грузоперевозок, но начиная с 2016 года начался рост производства. В 2018 году предприятием было выпущено 8460 вагонов, а в 2019 году - 8050 вагонов (рост производства в 3,3 раза по сравнению с 2015 годом).</w:t>
      </w:r>
    </w:p>
    <w:p>
      <w:pPr>
        <w:pStyle w:val="2"/>
        <w:numPr>
          <w:ilvl w:val="0"/>
          <w:numId w:val="0"/>
        </w:numPr>
        <w:spacing w:before="0" w:after="0"/>
        <w:ind w:left="0" w:firstLine="567"/>
        <w:jc w:val="both"/>
        <w:rPr>
          <w:sz w:val="24"/>
          <w:szCs w:val="24"/>
        </w:rPr>
      </w:pPr>
      <w:bookmarkStart w:id="44" w:name="_Toc142575259"/>
      <w:bookmarkStart w:id="45" w:name="_Toc135662178"/>
      <w:r>
        <w:rPr>
          <w:sz w:val="24"/>
          <w:szCs w:val="24"/>
        </w:rPr>
        <w:t>2.9. Анализ предложенных ранее концепций территориально-планировочного развития городского округа</w:t>
      </w:r>
      <w:bookmarkEnd w:id="44"/>
      <w:bookmarkEnd w:id="45"/>
    </w:p>
    <w:p>
      <w:pPr>
        <w:pStyle w:val="3"/>
        <w:keepNext w:val="true"/>
        <w:tabs>
          <w:tab w:val="clear" w:pos="4677"/>
          <w:tab w:val="clear" w:pos="9355"/>
          <w:tab w:val="left" w:pos="1276" w:leader="none"/>
        </w:tabs>
        <w:ind w:firstLine="567"/>
        <w:jc w:val="both"/>
        <w:rPr>
          <w:rFonts w:ascii="Times New Roman" w:hAnsi="Times New Roman" w:eastAsia="Times New Roman"/>
          <w:b/>
          <w:b/>
          <w:bCs/>
          <w:sz w:val="24"/>
          <w:szCs w:val="24"/>
        </w:rPr>
      </w:pPr>
      <w:bookmarkStart w:id="46" w:name="_Toc142575260"/>
      <w:bookmarkStart w:id="47" w:name="_Toc135662179"/>
      <w:r>
        <w:rPr>
          <w:rFonts w:eastAsia="Times New Roman" w:ascii="Times New Roman" w:hAnsi="Times New Roman"/>
          <w:b/>
          <w:bCs/>
          <w:sz w:val="24"/>
          <w:szCs w:val="24"/>
        </w:rPr>
        <w:t xml:space="preserve">2.9.1. </w:t>
      </w:r>
      <w:r>
        <w:rPr>
          <w:rFonts w:eastAsia="Times New Roman" w:ascii="Times New Roman" w:hAnsi="Times New Roman"/>
          <w:b/>
          <w:bCs/>
          <w:sz w:val="24"/>
          <w:szCs w:val="24"/>
          <w:lang w:eastAsia="ru-RU"/>
        </w:rPr>
        <w:t>Материалы по обоснованию Генерального плана 19</w:t>
      </w:r>
      <w:r>
        <w:rPr>
          <w:rFonts w:eastAsia="Times New Roman" w:ascii="Times New Roman" w:hAnsi="Times New Roman"/>
          <w:b/>
          <w:bCs/>
          <w:sz w:val="24"/>
          <w:szCs w:val="24"/>
        </w:rPr>
        <w:t>6</w:t>
      </w:r>
      <w:r>
        <w:rPr>
          <w:rFonts w:eastAsia="Times New Roman" w:ascii="Times New Roman" w:hAnsi="Times New Roman"/>
          <w:b/>
          <w:bCs/>
          <w:sz w:val="24"/>
          <w:szCs w:val="24"/>
          <w:lang w:eastAsia="ru-RU"/>
        </w:rPr>
        <w:t>5</w:t>
      </w:r>
      <w:r>
        <w:rPr>
          <w:rFonts w:eastAsia="Times New Roman" w:ascii="Times New Roman" w:hAnsi="Times New Roman"/>
          <w:b/>
          <w:bCs/>
          <w:sz w:val="24"/>
          <w:szCs w:val="24"/>
        </w:rPr>
        <w:t xml:space="preserve"> года (</w:t>
      </w:r>
      <w:r>
        <w:rPr>
          <w:rFonts w:eastAsia="Times New Roman" w:ascii="Times New Roman" w:hAnsi="Times New Roman"/>
          <w:b/>
          <w:bCs/>
          <w:sz w:val="24"/>
          <w:szCs w:val="24"/>
          <w:lang w:eastAsia="ru-RU"/>
        </w:rPr>
        <w:t>«Ленгипрогор»</w:t>
      </w:r>
      <w:r>
        <w:rPr>
          <w:rFonts w:eastAsia="Times New Roman" w:ascii="Times New Roman" w:hAnsi="Times New Roman"/>
          <w:b/>
          <w:bCs/>
          <w:sz w:val="24"/>
          <w:szCs w:val="24"/>
        </w:rPr>
        <w:t>)</w:t>
      </w:r>
      <w:bookmarkEnd w:id="46"/>
      <w:bookmarkEnd w:id="47"/>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Генеральный план г. Новоалтайска впервые был разработан институтом «Ленгипрогор» и утвержден Решением 531 Алтайского Крайисполкома 04.09.1965 года. Застройка города планировалась в существующих границах Новоалтайска и поселка Белоярск за счет реконструкции существующей застройки и развития города в восточном направлении на территориях свободных от застройки. Эти земли после строительства автодороги Новосибирск-Бийск-Ташанта совхозами Первомайского района практически не использовались и эксплуатировались городским населением для огородов. Вся селитебная территория города была административно поделена на три жилых района: южный, центральный, северный. В южный жилой район вошла территория между полосой отвода железной дороги и коммунально-складскими территориями, район привокзальной площади и территории западнее железной дороги. Эта часть города застроена 2-3-5-этажной застройкой, имеет относительно высокую степень благоустройства и достаточное количество учреждений обслуживания. Территориальное развитие района планировалось в юго-восточном направлении за счет земель совхоза «Санниковский».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Центральный район охватывал всю центральную часть города между железнодорожной линией на Новокузнецк и рекой Чесноковкой. Кроме того, к Центральному району относился район Велижановки - зона индивидуальной жилой застройки. Территориальное развитие планировалось в восточном направлении за счет земель совхоза «Новоалтайский». Северный жилой район – поселок Белоярск, застроенный экстенсивно одноэтажными индивидуальными жилыми домами, территориально развивался в восточном направлении за счет совхоза «Повалихинский». Во всех жилых районах планировалось осуществлять новое капитальное строительство многоэтажными жилыми домами путем реконструкции малоценного жилого фонда.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Основная часть существующих промышленных и коммунально-складских предприятий размещалась в крупном сложившемся Южном районе. Небольшая часть предприятий и организаций оставалась в селитебной зоне. Генеральным планом предусматривалась организация двух крупных спортивных комплексов общегородского значения на территории центрального и северного жилых районов. Генеральным планом предлагалось расширение северного района по северо-западной окраине города за счет соснового леса, что выполнено не было. Планировался   вынос ряда существующих предприятий из селитебной зоны, вокруг предприятий вводилась зона запрещения строительства. Жилье, расположенное в стометровой зоне вдоль железной дороги, подлежало сносу, что также выполнено не было. </w:t>
      </w:r>
    </w:p>
    <w:p>
      <w:pPr>
        <w:pStyle w:val="3"/>
        <w:keepNext w:val="true"/>
        <w:tabs>
          <w:tab w:val="clear" w:pos="4677"/>
          <w:tab w:val="clear" w:pos="9355"/>
          <w:tab w:val="left" w:pos="1276" w:leader="none"/>
        </w:tabs>
        <w:ind w:firstLine="567"/>
        <w:jc w:val="both"/>
        <w:rPr>
          <w:rFonts w:ascii="Times New Roman" w:hAnsi="Times New Roman" w:eastAsia="Times New Roman"/>
          <w:b/>
          <w:b/>
          <w:bCs/>
          <w:sz w:val="24"/>
          <w:szCs w:val="24"/>
          <w:lang w:eastAsia="ru-RU"/>
        </w:rPr>
      </w:pPr>
      <w:bookmarkStart w:id="48" w:name="_Toc142575261"/>
      <w:bookmarkStart w:id="49" w:name="_Toc135662180"/>
      <w:r>
        <w:rPr>
          <w:rFonts w:eastAsia="Times New Roman" w:ascii="Times New Roman" w:hAnsi="Times New Roman"/>
          <w:b/>
          <w:bCs/>
          <w:sz w:val="24"/>
          <w:szCs w:val="24"/>
        </w:rPr>
        <w:t xml:space="preserve">2.9.2. </w:t>
      </w:r>
      <w:r>
        <w:rPr>
          <w:rFonts w:eastAsia="Times New Roman" w:ascii="Times New Roman" w:hAnsi="Times New Roman"/>
          <w:b/>
          <w:bCs/>
          <w:sz w:val="24"/>
          <w:szCs w:val="24"/>
          <w:lang w:eastAsia="ru-RU"/>
        </w:rPr>
        <w:t>Материалы по обоснованию Генерального плана 1985 года («ГИПРОКОММУНСТРОЙ»)</w:t>
      </w:r>
      <w:r>
        <w:rPr>
          <w:rFonts w:eastAsia="Times New Roman" w:ascii="Times New Roman" w:hAnsi="Times New Roman"/>
          <w:b/>
          <w:bCs/>
          <w:sz w:val="24"/>
          <w:szCs w:val="24"/>
        </w:rPr>
        <w:t xml:space="preserve"> (с изменениями в 1987 году, </w:t>
      </w:r>
      <w:r>
        <w:rPr>
          <w:rFonts w:eastAsia="Times New Roman" w:ascii="Times New Roman" w:hAnsi="Times New Roman"/>
          <w:b/>
          <w:bCs/>
          <w:sz w:val="24"/>
          <w:szCs w:val="24"/>
          <w:lang w:eastAsia="ru-RU"/>
        </w:rPr>
        <w:t>«Ленгипрогор»</w:t>
      </w:r>
      <w:r>
        <w:rPr>
          <w:rFonts w:eastAsia="Times New Roman" w:ascii="Times New Roman" w:hAnsi="Times New Roman"/>
          <w:b/>
          <w:bCs/>
          <w:sz w:val="24"/>
          <w:szCs w:val="24"/>
        </w:rPr>
        <w:t>)</w:t>
      </w:r>
      <w:bookmarkEnd w:id="48"/>
      <w:bookmarkEnd w:id="49"/>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1985 году «ГИПРОКОММУНСТРОЙ» разработал проект городской черты Новоалтайска, согласно которому общая площадь территории города составила 6157,0 га. В черту города вошел поселок городского типа Белоярск, территории совхоза «Новоалтайский» до трассы М-52 «Чуйский тракт» Новосибирск-Бийск-Ташанта. Проект учитывал развитие города по ранее выполненному генеральному плану. За период реализации первого генерального плана в отраслевой структуре хозяйства города произошли следующие отклонения от намеченного генеральным планом 1965 года:</w:t>
      </w:r>
    </w:p>
    <w:p>
      <w:pPr>
        <w:pStyle w:val="Style47"/>
        <w:numPr>
          <w:ilvl w:val="0"/>
          <w:numId w:val="8"/>
        </w:numPr>
        <w:spacing w:before="0" w:after="0"/>
        <w:ind w:left="1" w:firstLine="567"/>
        <w:rPr/>
      </w:pPr>
      <w:r>
        <w:rPr/>
        <w:t xml:space="preserve">Численность населения достигла 63,5 тыс. человек, что составило 80% от проектной численности; </w:t>
      </w:r>
    </w:p>
    <w:p>
      <w:pPr>
        <w:pStyle w:val="Style47"/>
        <w:numPr>
          <w:ilvl w:val="0"/>
          <w:numId w:val="8"/>
        </w:numPr>
        <w:spacing w:before="0" w:after="0"/>
        <w:ind w:left="1" w:firstLine="567"/>
        <w:rPr/>
      </w:pPr>
      <w:r>
        <w:rPr/>
        <w:t>Численность градообразующих кадров достигла проектных показателей и составила 26 тыс. человек, но увеличилось количество работающих на предприятиях города Барнаула;</w:t>
      </w:r>
    </w:p>
    <w:p>
      <w:pPr>
        <w:pStyle w:val="Style47"/>
        <w:numPr>
          <w:ilvl w:val="0"/>
          <w:numId w:val="8"/>
        </w:numPr>
        <w:spacing w:before="0" w:after="0"/>
        <w:ind w:left="1" w:firstLine="567"/>
        <w:rPr/>
      </w:pPr>
      <w:r>
        <w:rPr/>
        <w:t>Объем нового жилищного строительства вырос на 50% от проектной и составил 490 тыс. м² общей площади;</w:t>
      </w:r>
    </w:p>
    <w:p>
      <w:pPr>
        <w:pStyle w:val="Style47"/>
        <w:numPr>
          <w:ilvl w:val="0"/>
          <w:numId w:val="8"/>
        </w:numPr>
        <w:spacing w:before="0" w:after="0"/>
        <w:ind w:left="1" w:firstLine="567"/>
        <w:rPr/>
      </w:pPr>
      <w:r>
        <w:rPr/>
        <w:t>Не выполнен  проектный уровень по ряду учреждений культурно-бытового обслуживания населения.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За истекший период до 1980 года в г. Новоалтайск были построены следующие общественные здания: Горком КПСС, Горисполком, Госбанк, ПТУ строителей, музыкальная школа, несколько общеобразовательных школ, детские дошкольные учреждения, роддом, взрослая и детская поликлиники, кинотеатр, магазины, кафе, предприятия КБО.</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За период реализации генплана выше проектного оказался уровень благоустройства улично-дорожной сети, количество индивидуального легкового и производственного грузового автотранспорта. В соответствии с разработанным в 1965 году генпланом осуществлено строительство 5 водозаборных кустов скважин, что составило порядка 20,6 тыс. куб. метров в сутки, построено порядка 85,0 км водопроводных сетей.  В 1985 году начато строительство общегородского водозабора производительностью 17,0 тыс. куб. метров в сутки в районе Бийского тракта. В городе построены сооружения с искусственной биологической очисткой сточных вод (СБО) пропускной способностью 40,0 тыс. куб. метров в сутки с перспективой развития до 60,0 тыс. куб. метров в сутки. Одновременно в городе построен канализационный коллектор с севера на юг с двумя насосными станциями перекачки. Электроснабжение города выполнено в соответствии с генеральным планом строительством новой подстанции «Новоалтайская» производительной мощностью 64 МВА, расположенной в северной части города. Для теплоснабжения коммунальных потребителей построено несколько котельных: на АВЗ, ЖБК, станции железной дороги и других предприятиях. В 1987 году данный генеральный план был откорректирован институтом «Ленгипрогор».</w:t>
      </w:r>
    </w:p>
    <w:p>
      <w:pPr>
        <w:pStyle w:val="Normal"/>
        <w:spacing w:lineRule="auto" w:line="240" w:before="0" w:after="0"/>
        <w:ind w:firstLine="567"/>
        <w:jc w:val="center"/>
        <w:rPr>
          <w:rFonts w:ascii="Times New Roman" w:hAnsi="Times New Roman"/>
          <w:b/>
          <w:b/>
          <w:bCs/>
          <w:sz w:val="24"/>
          <w:szCs w:val="24"/>
        </w:rPr>
      </w:pPr>
      <w:r>
        <w:rPr>
          <w:rFonts w:ascii="Times New Roman" w:hAnsi="Times New Roman"/>
          <w:b/>
          <w:bCs/>
          <w:sz w:val="24"/>
          <w:szCs w:val="24"/>
        </w:rPr>
        <w:t>Основные технико-экономические показатели Генерального плана города «Новоалтайск» 1987 года:</w:t>
      </w:r>
    </w:p>
    <w:p>
      <w:pPr>
        <w:pStyle w:val="Style47"/>
        <w:numPr>
          <w:ilvl w:val="0"/>
          <w:numId w:val="8"/>
        </w:numPr>
        <w:spacing w:before="0" w:after="0"/>
        <w:ind w:left="1" w:firstLine="567"/>
        <w:rPr/>
      </w:pPr>
      <w:r>
        <w:rPr/>
        <w:t>Градообразующая группа населения до 2010 года составит 43,0 тыс. человек;</w:t>
      </w:r>
    </w:p>
    <w:p>
      <w:pPr>
        <w:pStyle w:val="Style47"/>
        <w:numPr>
          <w:ilvl w:val="0"/>
          <w:numId w:val="8"/>
        </w:numPr>
        <w:spacing w:before="0" w:after="0"/>
        <w:ind w:left="1" w:firstLine="567"/>
        <w:rPr/>
      </w:pPr>
      <w:r>
        <w:rPr/>
        <w:t>Численность населения до 2010 года составит 100-110 тыс. человек;</w:t>
      </w:r>
    </w:p>
    <w:p>
      <w:pPr>
        <w:pStyle w:val="Style47"/>
        <w:numPr>
          <w:ilvl w:val="0"/>
          <w:numId w:val="8"/>
        </w:numPr>
        <w:spacing w:before="0" w:after="0"/>
        <w:ind w:left="1" w:firstLine="567"/>
        <w:rPr/>
      </w:pPr>
      <w:r>
        <w:rPr/>
        <w:t>Существующий сохраняемый жилой фонд - 809,0 тыс. кв. м общей площади;</w:t>
      </w:r>
    </w:p>
    <w:p>
      <w:pPr>
        <w:pStyle w:val="Style47"/>
        <w:numPr>
          <w:ilvl w:val="0"/>
          <w:numId w:val="8"/>
        </w:numPr>
        <w:spacing w:before="0" w:after="0"/>
        <w:ind w:left="1" w:firstLine="567"/>
        <w:rPr/>
      </w:pPr>
      <w:r>
        <w:rPr/>
        <w:t>Новое строительство - 1391,0 тыс.кв. метров общей площади;</w:t>
      </w:r>
    </w:p>
    <w:p>
      <w:pPr>
        <w:pStyle w:val="Style47"/>
        <w:numPr>
          <w:ilvl w:val="0"/>
          <w:numId w:val="8"/>
        </w:numPr>
        <w:spacing w:before="0" w:after="0"/>
        <w:ind w:left="1" w:firstLine="567"/>
        <w:rPr/>
      </w:pPr>
      <w:r>
        <w:rPr/>
        <w:t>Жилой фонд всего - 2200,0 тыс.кв. метров общей площади;</w:t>
      </w:r>
    </w:p>
    <w:p>
      <w:pPr>
        <w:pStyle w:val="Style47"/>
        <w:numPr>
          <w:ilvl w:val="0"/>
          <w:numId w:val="8"/>
        </w:numPr>
        <w:spacing w:before="0" w:after="0"/>
        <w:ind w:left="1" w:firstLine="567"/>
        <w:rPr/>
      </w:pPr>
      <w:r>
        <w:rPr/>
        <w:t>Жилая территория всего – 925,0 га, в т.ч.: усадебная – 585,0 га;</w:t>
      </w:r>
    </w:p>
    <w:p>
      <w:pPr>
        <w:pStyle w:val="Style47"/>
        <w:numPr>
          <w:ilvl w:val="0"/>
          <w:numId w:val="8"/>
        </w:numPr>
        <w:spacing w:before="0" w:after="0"/>
        <w:ind w:left="1" w:firstLine="567"/>
        <w:rPr/>
      </w:pPr>
      <w:r>
        <w:rPr/>
        <w:t>Многоэтажная секционная застройка -340,0 га;</w:t>
      </w:r>
    </w:p>
    <w:p>
      <w:pPr>
        <w:pStyle w:val="Style47"/>
        <w:numPr>
          <w:ilvl w:val="0"/>
          <w:numId w:val="8"/>
        </w:numPr>
        <w:spacing w:before="0" w:after="0"/>
        <w:ind w:left="1" w:firstLine="567"/>
        <w:rPr/>
      </w:pPr>
      <w:r>
        <w:rPr/>
        <w:t>Территория в пределах обсчета баланса - 4600,0 га;</w:t>
      </w:r>
    </w:p>
    <w:p>
      <w:pPr>
        <w:pStyle w:val="Style47"/>
        <w:numPr>
          <w:ilvl w:val="0"/>
          <w:numId w:val="8"/>
        </w:numPr>
        <w:spacing w:before="0" w:after="0"/>
        <w:ind w:left="1" w:firstLine="567"/>
        <w:rPr/>
      </w:pPr>
      <w:r>
        <w:rPr/>
        <w:t>Селитебные территории – 1720,0 га;</w:t>
      </w:r>
    </w:p>
    <w:p>
      <w:pPr>
        <w:pStyle w:val="Style47"/>
        <w:numPr>
          <w:ilvl w:val="0"/>
          <w:numId w:val="8"/>
        </w:numPr>
        <w:spacing w:before="0" w:after="0"/>
        <w:ind w:left="1" w:firstLine="567"/>
        <w:rPr/>
      </w:pPr>
      <w:r>
        <w:rPr/>
        <w:t>Жилые кварталы - 921,0 га, 84 кв. м на  человека;</w:t>
      </w:r>
    </w:p>
    <w:p>
      <w:pPr>
        <w:pStyle w:val="Style47"/>
        <w:numPr>
          <w:ilvl w:val="0"/>
          <w:numId w:val="8"/>
        </w:numPr>
        <w:spacing w:before="0" w:after="0"/>
        <w:ind w:left="1" w:firstLine="567"/>
        <w:rPr/>
      </w:pPr>
      <w:r>
        <w:rPr/>
        <w:t>Зеленые насаждения общего пользования – 229,0 га, 21 м² на человека;</w:t>
      </w:r>
    </w:p>
    <w:p>
      <w:pPr>
        <w:pStyle w:val="Style47"/>
        <w:numPr>
          <w:ilvl w:val="0"/>
          <w:numId w:val="8"/>
        </w:numPr>
        <w:spacing w:before="0" w:after="0"/>
        <w:ind w:left="1" w:firstLine="567"/>
        <w:rPr/>
      </w:pPr>
      <w:r>
        <w:rPr/>
        <w:t>Улицы, дороги – 344,0 га, 31 кв. метр на человека;</w:t>
      </w:r>
    </w:p>
    <w:p>
      <w:pPr>
        <w:pStyle w:val="Style47"/>
        <w:numPr>
          <w:ilvl w:val="0"/>
          <w:numId w:val="8"/>
        </w:numPr>
        <w:spacing w:before="0" w:after="0"/>
        <w:ind w:left="1" w:firstLine="567"/>
        <w:rPr/>
      </w:pPr>
      <w:r>
        <w:rPr/>
        <w:t>Внеселитебные территории (всего) – 2880,0 га;</w:t>
      </w:r>
    </w:p>
    <w:p>
      <w:pPr>
        <w:pStyle w:val="Style47"/>
        <w:numPr>
          <w:ilvl w:val="0"/>
          <w:numId w:val="8"/>
        </w:numPr>
        <w:spacing w:before="0" w:after="0"/>
        <w:ind w:left="1" w:firstLine="567"/>
        <w:rPr/>
      </w:pPr>
      <w:r>
        <w:rPr/>
        <w:t>Промышленные территории – 372,0 га;</w:t>
      </w:r>
    </w:p>
    <w:p>
      <w:pPr>
        <w:pStyle w:val="Style47"/>
        <w:numPr>
          <w:ilvl w:val="0"/>
          <w:numId w:val="8"/>
        </w:numPr>
        <w:spacing w:before="0" w:after="0"/>
        <w:ind w:left="1" w:firstLine="567"/>
        <w:rPr/>
      </w:pPr>
      <w:r>
        <w:rPr/>
        <w:t>Коммунально-складские территории - 278,0 га;</w:t>
      </w:r>
    </w:p>
    <w:p>
      <w:pPr>
        <w:pStyle w:val="Style47"/>
        <w:numPr>
          <w:ilvl w:val="0"/>
          <w:numId w:val="8"/>
        </w:numPr>
        <w:spacing w:before="0" w:after="0"/>
        <w:ind w:left="1" w:firstLine="567"/>
        <w:rPr/>
      </w:pPr>
      <w:r>
        <w:rPr/>
        <w:t>Территории внешнего транспорта – 500,0 га;</w:t>
      </w:r>
    </w:p>
    <w:p>
      <w:pPr>
        <w:pStyle w:val="Style47"/>
        <w:numPr>
          <w:ilvl w:val="0"/>
          <w:numId w:val="8"/>
        </w:numPr>
        <w:spacing w:before="0" w:after="0"/>
        <w:ind w:left="1" w:firstLine="567"/>
        <w:rPr/>
      </w:pPr>
      <w:r>
        <w:rPr/>
        <w:t>Производственные дороги, автостоянки - 71,0 га;</w:t>
      </w:r>
    </w:p>
    <w:p>
      <w:pPr>
        <w:pStyle w:val="Style47"/>
        <w:numPr>
          <w:ilvl w:val="0"/>
          <w:numId w:val="8"/>
        </w:numPr>
        <w:spacing w:before="0" w:after="0"/>
        <w:ind w:left="1" w:firstLine="567"/>
        <w:rPr/>
      </w:pPr>
      <w:r>
        <w:rPr/>
        <w:t>Санитарно-защитные зоны – 95,0 га;</w:t>
      </w:r>
    </w:p>
    <w:p>
      <w:pPr>
        <w:pStyle w:val="Style47"/>
        <w:numPr>
          <w:ilvl w:val="0"/>
          <w:numId w:val="8"/>
        </w:numPr>
        <w:spacing w:before="0" w:after="0"/>
        <w:ind w:left="1" w:firstLine="567"/>
        <w:rPr/>
      </w:pPr>
      <w:r>
        <w:rPr/>
        <w:t>Прочие территории – 1564,0 га;</w:t>
      </w:r>
    </w:p>
    <w:p>
      <w:pPr>
        <w:pStyle w:val="Style47"/>
        <w:numPr>
          <w:ilvl w:val="0"/>
          <w:numId w:val="8"/>
        </w:numPr>
        <w:spacing w:before="0" w:after="0"/>
        <w:ind w:left="1" w:firstLine="567"/>
        <w:rPr/>
      </w:pPr>
      <w:r>
        <w:rPr/>
        <w:t>Плотность населения в пределах селитебных территорий - 64 чел/га;</w:t>
      </w:r>
    </w:p>
    <w:p>
      <w:pPr>
        <w:pStyle w:val="Style47"/>
        <w:numPr>
          <w:ilvl w:val="0"/>
          <w:numId w:val="8"/>
        </w:numPr>
        <w:spacing w:before="0" w:after="0"/>
        <w:ind w:left="1" w:firstLine="567"/>
        <w:rPr/>
      </w:pPr>
      <w:r>
        <w:rPr/>
        <w:t>Обеспеченность населения общей площадью – 20,0 кв. метра на человека;</w:t>
      </w:r>
    </w:p>
    <w:p>
      <w:pPr>
        <w:pStyle w:val="Style47"/>
        <w:numPr>
          <w:ilvl w:val="0"/>
          <w:numId w:val="8"/>
        </w:numPr>
        <w:spacing w:before="0" w:after="0"/>
        <w:ind w:left="1" w:firstLine="567"/>
        <w:rPr/>
      </w:pPr>
      <w:r>
        <w:rPr/>
        <w:t>Соотношение нового жилищного строительства: 1эт. = 7%, 2-3эт. = 10%, 4-5эт. = 58%, 9-10эт. = 25%;</w:t>
      </w:r>
    </w:p>
    <w:p>
      <w:pPr>
        <w:pStyle w:val="Style47"/>
        <w:numPr>
          <w:ilvl w:val="0"/>
          <w:numId w:val="8"/>
        </w:numPr>
        <w:spacing w:before="0" w:after="0"/>
        <w:ind w:left="1" w:firstLine="567"/>
        <w:rPr/>
      </w:pPr>
      <w:r>
        <w:rPr/>
        <w:t>Средняя плотность многоэтажного жилищного фонда – 5700 кв. м / га;</w:t>
      </w:r>
    </w:p>
    <w:p>
      <w:pPr>
        <w:pStyle w:val="Style47"/>
        <w:numPr>
          <w:ilvl w:val="0"/>
          <w:numId w:val="8"/>
        </w:numPr>
        <w:spacing w:before="0" w:after="0"/>
        <w:ind w:left="1" w:firstLine="567"/>
        <w:rPr/>
      </w:pPr>
      <w:r>
        <w:rPr/>
        <w:t>Суммарный отпуск воды – 53,8 тыс. куб. метров в сутки;</w:t>
      </w:r>
    </w:p>
    <w:p>
      <w:pPr>
        <w:pStyle w:val="Style47"/>
        <w:numPr>
          <w:ilvl w:val="0"/>
          <w:numId w:val="8"/>
        </w:numPr>
        <w:spacing w:before="0" w:after="0"/>
        <w:ind w:left="1" w:firstLine="567"/>
        <w:rPr/>
      </w:pPr>
      <w:r>
        <w:rPr/>
        <w:t xml:space="preserve">Производительность подземных водозаборов – 59,0 тыс. куб. м/сутки;  </w:t>
      </w:r>
    </w:p>
    <w:p>
      <w:pPr>
        <w:pStyle w:val="Style47"/>
        <w:numPr>
          <w:ilvl w:val="0"/>
          <w:numId w:val="8"/>
        </w:numPr>
        <w:spacing w:before="0" w:after="0"/>
        <w:ind w:left="1" w:firstLine="567"/>
        <w:rPr/>
      </w:pPr>
      <w:r>
        <w:rPr/>
        <w:t>Водопотребление на 1чел на коммунально-бытовые нужды – 370 л/сутки;</w:t>
      </w:r>
    </w:p>
    <w:p>
      <w:pPr>
        <w:pStyle w:val="Style47"/>
        <w:numPr>
          <w:ilvl w:val="0"/>
          <w:numId w:val="21"/>
        </w:numPr>
        <w:spacing w:before="0" w:after="0"/>
        <w:ind w:left="0" w:firstLine="567"/>
        <w:rPr/>
      </w:pPr>
      <w:r>
        <w:rPr/>
        <w:t>Общее поступление сточных вод – 64,2 тыс. куб. м/сутки;</w:t>
      </w:r>
    </w:p>
    <w:p>
      <w:pPr>
        <w:pStyle w:val="Style47"/>
        <w:numPr>
          <w:ilvl w:val="0"/>
          <w:numId w:val="22"/>
        </w:numPr>
        <w:spacing w:before="0" w:after="0"/>
        <w:ind w:left="0" w:firstLine="567"/>
        <w:rPr/>
      </w:pPr>
      <w:r>
        <w:rPr/>
        <w:t xml:space="preserve">Суммарная мощность очистных сооружений биологической очистки = 65,0 тыс. м³/сутки;   </w:t>
      </w:r>
    </w:p>
    <w:p>
      <w:pPr>
        <w:pStyle w:val="Style47"/>
        <w:numPr>
          <w:ilvl w:val="0"/>
          <w:numId w:val="8"/>
        </w:numPr>
        <w:spacing w:before="0" w:after="0"/>
        <w:ind w:left="1" w:firstLine="567"/>
        <w:rPr/>
      </w:pPr>
      <w:r>
        <w:rPr/>
        <w:t>Очистка сточных вод - 100%;</w:t>
      </w:r>
    </w:p>
    <w:p>
      <w:pPr>
        <w:pStyle w:val="Style47"/>
        <w:numPr>
          <w:ilvl w:val="0"/>
          <w:numId w:val="8"/>
        </w:numPr>
        <w:spacing w:before="0" w:after="0"/>
        <w:ind w:left="1" w:firstLine="567"/>
        <w:rPr/>
      </w:pPr>
      <w:r>
        <w:rPr/>
        <w:t>Объем твердых отходов – 38,7 тыс. тонн;</w:t>
      </w:r>
    </w:p>
    <w:p>
      <w:pPr>
        <w:pStyle w:val="Style47"/>
        <w:numPr>
          <w:ilvl w:val="0"/>
          <w:numId w:val="8"/>
        </w:numPr>
        <w:spacing w:before="0" w:after="0"/>
        <w:ind w:left="1" w:firstLine="567"/>
        <w:rPr/>
      </w:pPr>
      <w:r>
        <w:rPr/>
        <w:t>Территория твердых бытовых отходов - 17,0 га;</w:t>
      </w:r>
    </w:p>
    <w:p>
      <w:pPr>
        <w:pStyle w:val="Style47"/>
        <w:numPr>
          <w:ilvl w:val="0"/>
          <w:numId w:val="8"/>
        </w:numPr>
        <w:spacing w:before="0" w:after="0"/>
        <w:ind w:left="1" w:firstLine="567"/>
        <w:rPr/>
      </w:pPr>
      <w:r>
        <w:rPr/>
        <w:t>Суммарное потребление электроэнергии  - 110 млн. кВт час/год;</w:t>
      </w:r>
    </w:p>
    <w:p>
      <w:pPr>
        <w:pStyle w:val="Style47"/>
        <w:numPr>
          <w:ilvl w:val="0"/>
          <w:numId w:val="23"/>
        </w:numPr>
        <w:spacing w:before="0" w:after="0"/>
        <w:ind w:left="0" w:firstLine="567"/>
        <w:rPr/>
      </w:pPr>
      <w:r>
        <w:rPr/>
        <w:t>Потребление электроэнергии на 1 чел в год на коммунально-бытовые нужды – 1800 КВт час, всего 200 млн. кВт час/год;</w:t>
      </w:r>
    </w:p>
    <w:p>
      <w:pPr>
        <w:pStyle w:val="Style47"/>
        <w:numPr>
          <w:ilvl w:val="0"/>
          <w:numId w:val="8"/>
        </w:numPr>
        <w:spacing w:before="0" w:after="0"/>
        <w:ind w:left="1" w:firstLine="567"/>
        <w:rPr/>
      </w:pPr>
      <w:r>
        <w:rPr/>
        <w:t>Мощность централизованных источников тепла – 990 Гкал/час;</w:t>
      </w:r>
    </w:p>
    <w:p>
      <w:pPr>
        <w:pStyle w:val="Style47"/>
        <w:numPr>
          <w:ilvl w:val="0"/>
          <w:numId w:val="8"/>
        </w:numPr>
        <w:spacing w:before="0" w:after="0"/>
        <w:ind w:left="1" w:firstLine="567"/>
        <w:rPr/>
      </w:pPr>
      <w:r>
        <w:rPr/>
        <w:t>Подача тепла (всего) – 1570,0 Гкал/час, в т.ч.  258,3 в жилой сектор;</w:t>
      </w:r>
    </w:p>
    <w:p>
      <w:pPr>
        <w:pStyle w:val="Style47"/>
        <w:numPr>
          <w:ilvl w:val="0"/>
          <w:numId w:val="8"/>
        </w:numPr>
        <w:spacing w:before="0" w:after="0"/>
        <w:ind w:left="1" w:firstLine="567"/>
        <w:rPr/>
      </w:pPr>
      <w:r>
        <w:rPr/>
        <w:t>Обеспеченность жилого фонда  централизованным теплоснабжением -85%;</w:t>
      </w:r>
    </w:p>
    <w:p>
      <w:pPr>
        <w:pStyle w:val="Style47"/>
        <w:numPr>
          <w:ilvl w:val="0"/>
          <w:numId w:val="8"/>
        </w:numPr>
        <w:spacing w:before="0" w:after="0"/>
        <w:ind w:left="1" w:firstLine="567"/>
        <w:rPr/>
      </w:pPr>
      <w:r>
        <w:rPr/>
        <w:t>Потребление газа – 6,0 тыс. тонн.</w:t>
      </w:r>
    </w:p>
    <w:p>
      <w:pPr>
        <w:pStyle w:val="Normal"/>
        <w:spacing w:lineRule="auto" w:line="240" w:before="0" w:after="0"/>
        <w:jc w:val="center"/>
        <w:rPr>
          <w:rFonts w:ascii="Times New Roman" w:hAnsi="Times New Roman"/>
          <w:sz w:val="24"/>
          <w:szCs w:val="24"/>
        </w:rPr>
      </w:pPr>
      <w:r>
        <w:rPr>
          <w:rFonts w:ascii="Times New Roman" w:hAnsi="Times New Roman"/>
          <w:b/>
          <w:bCs/>
          <w:sz w:val="24"/>
          <w:szCs w:val="24"/>
        </w:rPr>
        <w:t>Культурно-бытовое строительство</w:t>
      </w:r>
      <w:r>
        <w:rPr>
          <w:rFonts w:ascii="Times New Roman" w:hAnsi="Times New Roman"/>
          <w:sz w:val="24"/>
          <w:szCs w:val="24"/>
        </w:rPr>
        <w:t>:</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1. Детские дошкольные учреждения – 2173 мест.</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2. Общеобразовательные школы – 7072 учащихся.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3. Больницы – 1043 больничных коек.</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4. Поликлиника – 2413 посещений в смену.</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5. Магазины – 22011 кв. м торговой площади.</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6. Предприятия общественного питания – 630 посадочных мест.</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7.  Клубы, дворцы культуры – 1570 мест.</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8.  Кинотеатры – 1120 мест.</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9.  Гостиницы – 20 мест.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10. Прачечные – 800 кг сухого белья в смену.</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11. Учреждения бытового обслуживания – 150 рабочих мест</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системе межселенного культурно-бытового обслуживания город рассматривался как центр периодического обслуживания, что предполагает размещение на территории учреждений первичного обслуживания собственного населения, периодического и, частично, эпизодического обслуживания собственного и тяготеющего населения.</w:t>
      </w:r>
    </w:p>
    <w:p>
      <w:pPr>
        <w:pStyle w:val="Style47"/>
        <w:numPr>
          <w:ilvl w:val="0"/>
          <w:numId w:val="0"/>
        </w:numPr>
        <w:spacing w:before="0" w:after="0"/>
        <w:ind w:left="1" w:firstLine="567"/>
        <w:rPr/>
      </w:pPr>
      <w:r>
        <w:rPr/>
        <w:t>Проектная численность населения жилых районов города составила:</w:t>
      </w:r>
    </w:p>
    <w:p>
      <w:pPr>
        <w:pStyle w:val="Style47"/>
        <w:numPr>
          <w:ilvl w:val="0"/>
          <w:numId w:val="8"/>
        </w:numPr>
        <w:spacing w:before="0" w:after="0"/>
        <w:ind w:left="1" w:firstLine="567"/>
        <w:rPr/>
      </w:pPr>
      <w:r>
        <w:rPr/>
        <w:t>Центральный жилой район -79 тыс. человек,</w:t>
      </w:r>
    </w:p>
    <w:p>
      <w:pPr>
        <w:pStyle w:val="Style47"/>
        <w:numPr>
          <w:ilvl w:val="0"/>
          <w:numId w:val="8"/>
        </w:numPr>
        <w:spacing w:before="0" w:after="0"/>
        <w:ind w:left="1" w:firstLine="567"/>
        <w:rPr/>
      </w:pPr>
      <w:r>
        <w:rPr/>
        <w:t>Южный жилой район-15 тыс. человек,</w:t>
      </w:r>
    </w:p>
    <w:p>
      <w:pPr>
        <w:pStyle w:val="Style47"/>
        <w:numPr>
          <w:ilvl w:val="0"/>
          <w:numId w:val="8"/>
        </w:numPr>
        <w:spacing w:before="0" w:after="0"/>
        <w:ind w:left="1" w:firstLine="567"/>
        <w:rPr/>
      </w:pPr>
      <w:r>
        <w:rPr/>
        <w:t>Северный жилой район (п. Белоярск) -12 тыс. человек,</w:t>
      </w:r>
    </w:p>
    <w:p>
      <w:pPr>
        <w:pStyle w:val="Style47"/>
        <w:numPr>
          <w:ilvl w:val="0"/>
          <w:numId w:val="8"/>
        </w:numPr>
        <w:spacing w:before="0" w:after="0"/>
        <w:ind w:left="1" w:firstLine="567"/>
        <w:rPr/>
      </w:pPr>
      <w:r>
        <w:rPr/>
        <w:t xml:space="preserve">поселок Новогорский - 4 тыс. человек.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Численность сопряженного тяготеющего к городу Новоалтайск населения была принята – 20 тыс. человек. В соответствии со ступенчатой системой обслуживания по генеральному плану предусматривалась организация общегородского общественного центра, который уже складывался на территории центрального жилого района. Предусматривалось также формирование общественных центров Северного и Южного жилых районов. Генеральным планом планировалась организация двух крупных спортивных комплексов общегородского значения в Центральном и Северном жилых районах. Общая территория спортивных сооружений к концу расчетного срока должна была составлять - 60,0 га.</w:t>
      </w:r>
    </w:p>
    <w:p>
      <w:pPr>
        <w:pStyle w:val="Normal"/>
        <w:spacing w:lineRule="auto" w:line="240" w:before="0" w:after="0"/>
        <w:jc w:val="center"/>
        <w:rPr>
          <w:rFonts w:ascii="Times New Roman" w:hAnsi="Times New Roman"/>
          <w:b/>
          <w:b/>
          <w:bCs/>
          <w:sz w:val="24"/>
          <w:szCs w:val="24"/>
        </w:rPr>
      </w:pPr>
      <w:r>
        <w:rPr>
          <w:rFonts w:ascii="Times New Roman" w:hAnsi="Times New Roman"/>
          <w:b/>
          <w:bCs/>
          <w:sz w:val="24"/>
          <w:szCs w:val="24"/>
        </w:rPr>
        <w:t>Анализ выполнение генерального плана за истекший период времени (20лет):</w:t>
      </w:r>
    </w:p>
    <w:p>
      <w:pPr>
        <w:pStyle w:val="Style47"/>
        <w:numPr>
          <w:ilvl w:val="0"/>
          <w:numId w:val="8"/>
        </w:numPr>
        <w:spacing w:before="0" w:after="0"/>
        <w:ind w:left="1" w:firstLine="567"/>
        <w:rPr/>
      </w:pPr>
      <w:r>
        <w:rPr/>
        <w:t>По проекту генерального плана «Ленгипрогор» 1987 года заложено недостаточно территории для индивидуального жилищного строительства и принятый процент (7%) для индивидуального усадебного строительства не соответствует современным тенденциям.</w:t>
      </w:r>
    </w:p>
    <w:p>
      <w:pPr>
        <w:pStyle w:val="Style47"/>
        <w:numPr>
          <w:ilvl w:val="0"/>
          <w:numId w:val="8"/>
        </w:numPr>
        <w:spacing w:before="0" w:after="0"/>
        <w:ind w:left="1" w:firstLine="567"/>
        <w:rPr>
          <w:b/>
          <w:b/>
          <w:bCs/>
        </w:rPr>
      </w:pPr>
      <w:r>
        <w:rPr/>
        <w:t xml:space="preserve">Четкой границы города проект генплана 1987 года не дает.  </w:t>
      </w:r>
    </w:p>
    <w:p>
      <w:pPr>
        <w:pStyle w:val="Style47"/>
        <w:numPr>
          <w:ilvl w:val="0"/>
          <w:numId w:val="8"/>
        </w:numPr>
        <w:spacing w:before="0" w:after="0"/>
        <w:ind w:left="1" w:firstLine="567"/>
        <w:rPr>
          <w:b/>
          <w:b/>
          <w:bCs/>
        </w:rPr>
      </w:pPr>
      <w:r>
        <w:rPr/>
        <w:t>Жилищная обеспеченность не достигла расчетных   показателей.</w:t>
      </w:r>
    </w:p>
    <w:p>
      <w:pPr>
        <w:pStyle w:val="Style47"/>
        <w:numPr>
          <w:ilvl w:val="0"/>
          <w:numId w:val="8"/>
        </w:numPr>
        <w:spacing w:before="0" w:after="0"/>
        <w:ind w:left="1" w:firstLine="567"/>
        <w:rPr>
          <w:b/>
          <w:b/>
          <w:bCs/>
        </w:rPr>
      </w:pPr>
      <w:r>
        <w:rPr/>
        <w:t>Намеченный предыдущим генеральным планом объем жилищного строительства не выполнен.</w:t>
      </w:r>
    </w:p>
    <w:p>
      <w:pPr>
        <w:pStyle w:val="Style47"/>
        <w:numPr>
          <w:ilvl w:val="0"/>
          <w:numId w:val="8"/>
        </w:numPr>
        <w:spacing w:before="0" w:after="0"/>
        <w:ind w:left="1" w:firstLine="567"/>
        <w:rPr>
          <w:b/>
          <w:b/>
          <w:bCs/>
        </w:rPr>
      </w:pPr>
      <w:r>
        <w:rPr/>
        <w:t>Уровень обслуживания населения учреждениями и объектами</w:t>
      </w:r>
      <w:r>
        <w:rPr>
          <w:b/>
          <w:bCs/>
        </w:rPr>
        <w:t xml:space="preserve"> </w:t>
      </w:r>
      <w:r>
        <w:rPr/>
        <w:t>культурно- бытового обслуживания не достиг проектного.</w:t>
      </w:r>
    </w:p>
    <w:p>
      <w:pPr>
        <w:pStyle w:val="Style47"/>
        <w:numPr>
          <w:ilvl w:val="0"/>
          <w:numId w:val="8"/>
        </w:numPr>
        <w:spacing w:before="0" w:after="0"/>
        <w:ind w:left="1" w:firstLine="567"/>
        <w:rPr>
          <w:b/>
          <w:b/>
          <w:bCs/>
        </w:rPr>
      </w:pPr>
      <w:r>
        <w:rPr/>
        <w:t>Протяженность автобусной сети выросла в 2 раза по сравнению с проектом.</w:t>
      </w:r>
    </w:p>
    <w:p>
      <w:pPr>
        <w:pStyle w:val="Style47"/>
        <w:numPr>
          <w:ilvl w:val="0"/>
          <w:numId w:val="8"/>
        </w:numPr>
        <w:spacing w:before="0" w:after="0"/>
        <w:ind w:left="1" w:firstLine="567"/>
        <w:rPr>
          <w:b/>
          <w:b/>
          <w:bCs/>
        </w:rPr>
      </w:pPr>
      <w:r>
        <w:rPr/>
        <w:t xml:space="preserve">Превышен более чем в 10 раз прогноз по уровню автомобилизации. </w:t>
      </w:r>
    </w:p>
    <w:p>
      <w:pPr>
        <w:pStyle w:val="Style47"/>
        <w:numPr>
          <w:ilvl w:val="0"/>
          <w:numId w:val="8"/>
        </w:numPr>
        <w:spacing w:before="0" w:after="0"/>
        <w:ind w:left="1" w:firstLine="567"/>
        <w:rPr>
          <w:b/>
          <w:b/>
          <w:bCs/>
        </w:rPr>
      </w:pPr>
      <w:r>
        <w:rPr/>
        <w:t>За время реализации генплана построены 2 транспортных развязки.</w:t>
      </w:r>
    </w:p>
    <w:p>
      <w:pPr>
        <w:pStyle w:val="Style47"/>
        <w:numPr>
          <w:ilvl w:val="0"/>
          <w:numId w:val="8"/>
        </w:numPr>
        <w:spacing w:before="0" w:after="0"/>
        <w:ind w:left="1" w:firstLine="567"/>
        <w:rPr>
          <w:b/>
          <w:b/>
          <w:bCs/>
        </w:rPr>
      </w:pPr>
      <w:r>
        <w:rPr/>
        <w:t>Начато строительство общегородского водозабора в районе прибрежной зашитной полосы р. Чесноковка.</w:t>
      </w:r>
    </w:p>
    <w:p>
      <w:pPr>
        <w:pStyle w:val="Style47"/>
        <w:numPr>
          <w:ilvl w:val="0"/>
          <w:numId w:val="8"/>
        </w:numPr>
        <w:spacing w:before="0" w:after="0"/>
        <w:ind w:left="1" w:firstLine="567"/>
        <w:rPr>
          <w:b/>
          <w:b/>
          <w:bCs/>
        </w:rPr>
      </w:pPr>
      <w:r>
        <w:rPr/>
        <w:t>Не осуществлено строительство котельной для коммунально-бытовых</w:t>
      </w:r>
      <w:r>
        <w:rPr>
          <w:b/>
          <w:bCs/>
        </w:rPr>
        <w:t xml:space="preserve"> </w:t>
      </w:r>
      <w:r>
        <w:rPr/>
        <w:t>потребителей северной части города.</w:t>
      </w:r>
    </w:p>
    <w:p>
      <w:pPr>
        <w:pStyle w:val="Style47"/>
        <w:numPr>
          <w:ilvl w:val="0"/>
          <w:numId w:val="8"/>
        </w:numPr>
        <w:spacing w:before="0" w:after="0"/>
        <w:ind w:left="1" w:firstLine="567"/>
        <w:rPr>
          <w:b/>
          <w:b/>
          <w:bCs/>
        </w:rPr>
      </w:pPr>
      <w:r>
        <w:rPr/>
        <w:t>Электроснабжение города осуществляется в соответствии с генпланом.</w:t>
      </w:r>
    </w:p>
    <w:p>
      <w:pPr>
        <w:pStyle w:val="Style47"/>
        <w:numPr>
          <w:ilvl w:val="0"/>
          <w:numId w:val="8"/>
        </w:numPr>
        <w:spacing w:before="0" w:after="0"/>
        <w:ind w:left="1" w:firstLine="567"/>
        <w:rPr>
          <w:b/>
          <w:b/>
          <w:bCs/>
        </w:rPr>
      </w:pPr>
      <w:r>
        <w:rPr/>
        <w:t>Важным для экономики и развития инженерной инфраструктуры города</w:t>
      </w:r>
      <w:r>
        <w:rPr>
          <w:b/>
          <w:bCs/>
        </w:rPr>
        <w:t xml:space="preserve"> </w:t>
      </w:r>
      <w:r>
        <w:rPr/>
        <w:t>является строительство газопровода природного газа высокого давления и переход котельных на данный вид топлива.</w:t>
      </w:r>
    </w:p>
    <w:p>
      <w:pPr>
        <w:pStyle w:val="Style47"/>
        <w:numPr>
          <w:ilvl w:val="0"/>
          <w:numId w:val="0"/>
        </w:numPr>
        <w:spacing w:before="0" w:after="0"/>
        <w:ind w:left="1" w:firstLine="566"/>
        <w:rPr/>
      </w:pPr>
      <w:r>
        <w:rPr/>
        <w:t xml:space="preserve">Развитие территории города происходит согласно принятых проектных решений в восточном направлении за счет прилегающих земель сельскохозяйственного использования и эта тенденция будет продолжаться. В границы города вошли, тяготеющие к нему территории пригородных  поселков Новогорский и Белоярск. </w:t>
      </w:r>
    </w:p>
    <w:p>
      <w:pPr>
        <w:pStyle w:val="Style47"/>
        <w:numPr>
          <w:ilvl w:val="0"/>
          <w:numId w:val="0"/>
        </w:numPr>
        <w:spacing w:before="0" w:after="0"/>
        <w:ind w:left="1" w:firstLine="566"/>
        <w:rPr/>
      </w:pPr>
      <w:r>
        <w:rPr/>
        <w:t xml:space="preserve">Перспективными для индивидуального жилищного строительства города являются земли садоводческих товариществ, расположенных вдоль трассы М-52 «Чуйский тракт» направлением на Новосибирск, что намечалось всеми проектами генеральных планов. </w:t>
      </w:r>
    </w:p>
    <w:p>
      <w:pPr>
        <w:pStyle w:val="Style47"/>
        <w:numPr>
          <w:ilvl w:val="0"/>
          <w:numId w:val="0"/>
        </w:numPr>
        <w:spacing w:before="0" w:after="0"/>
        <w:ind w:left="568" w:hanging="0"/>
        <w:rPr>
          <w:b/>
          <w:b/>
          <w:bCs/>
        </w:rPr>
      </w:pPr>
      <w:r>
        <w:rPr>
          <w:b/>
          <w:bCs/>
        </w:rPr>
      </w:r>
    </w:p>
    <w:p>
      <w:pPr>
        <w:pStyle w:val="2"/>
        <w:numPr>
          <w:ilvl w:val="0"/>
          <w:numId w:val="0"/>
        </w:numPr>
        <w:spacing w:before="0" w:after="0"/>
        <w:ind w:left="0" w:firstLine="567"/>
        <w:rPr>
          <w:sz w:val="24"/>
          <w:szCs w:val="24"/>
        </w:rPr>
      </w:pPr>
      <w:bookmarkStart w:id="50" w:name="_Toc142575262"/>
      <w:bookmarkStart w:id="51" w:name="_Toc135662181"/>
      <w:r>
        <w:rPr>
          <w:sz w:val="24"/>
          <w:szCs w:val="24"/>
        </w:rPr>
        <w:t>2.10. Баланс земель городского округа город Новоалтайск Алтайского края</w:t>
      </w:r>
      <w:bookmarkEnd w:id="50"/>
      <w:bookmarkEnd w:id="51"/>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Земельный баланс территории городского округа город Новоалтайск приведён в Таблице </w:t>
      </w:r>
      <w:r>
        <w:rPr>
          <w:rFonts w:ascii="Times New Roman" w:hAnsi="Times New Roman"/>
          <w:sz w:val="24"/>
          <w:szCs w:val="24"/>
        </w:rPr>
        <w:fldChar w:fldCharType="begin"/>
      </w:r>
      <w:r>
        <w:rPr>
          <w:sz w:val="24"/>
          <w:szCs w:val="24"/>
          <w:rFonts w:ascii="Times New Roman" w:hAnsi="Times New Roman"/>
        </w:rPr>
        <w:instrText> SEQ Рисунок \* ARABIC </w:instrText>
      </w:r>
      <w:r>
        <w:rPr>
          <w:sz w:val="24"/>
          <w:szCs w:val="24"/>
          <w:rFonts w:ascii="Times New Roman" w:hAnsi="Times New Roman"/>
        </w:rPr>
        <w:fldChar w:fldCharType="separate"/>
      </w:r>
      <w:r>
        <w:rPr>
          <w:sz w:val="24"/>
          <w:szCs w:val="24"/>
          <w:rFonts w:ascii="Times New Roman" w:hAnsi="Times New Roman"/>
        </w:rPr>
        <w:t>11</w:t>
      </w:r>
      <w:r>
        <w:rPr>
          <w:sz w:val="24"/>
          <w:szCs w:val="24"/>
          <w:rFonts w:ascii="Times New Roman" w:hAnsi="Times New Roman"/>
        </w:rPr>
        <w:fldChar w:fldCharType="end"/>
      </w:r>
      <w:r>
        <w:rPr>
          <w:rFonts w:ascii="Times New Roman" w:hAnsi="Times New Roman"/>
          <w:sz w:val="24"/>
          <w:szCs w:val="24"/>
        </w:rPr>
        <w:t>.</w:t>
      </w:r>
    </w:p>
    <w:p>
      <w:pPr>
        <w:pStyle w:val="Style52"/>
        <w:numPr>
          <w:ilvl w:val="0"/>
          <w:numId w:val="4"/>
        </w:numPr>
        <w:rPr/>
      </w:pPr>
      <w:r>
        <w:rPr/>
        <w:t>Баланс земель городского округа город Новоалтайск</w:t>
      </w:r>
    </w:p>
    <w:tbl>
      <w:tblPr>
        <w:tblW w:w="5000" w:type="pct"/>
        <w:jc w:val="left"/>
        <w:tblInd w:w="0" w:type="dxa"/>
        <w:tblLayout w:type="fixed"/>
        <w:tblCellMar>
          <w:top w:w="0" w:type="dxa"/>
          <w:left w:w="108" w:type="dxa"/>
          <w:bottom w:w="0" w:type="dxa"/>
          <w:right w:w="108" w:type="dxa"/>
        </w:tblCellMar>
        <w:tblLook w:val="01e0"/>
      </w:tblPr>
      <w:tblGrid>
        <w:gridCol w:w="563"/>
        <w:gridCol w:w="6670"/>
        <w:gridCol w:w="1135"/>
        <w:gridCol w:w="986"/>
      </w:tblGrid>
      <w:tr>
        <w:trPr>
          <w:tblHeader w:val="true"/>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66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Наименование функциональной зоны</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212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 расчётный срок</w:t>
            </w:r>
          </w:p>
        </w:tc>
      </w:tr>
      <w:tr>
        <w:trPr>
          <w:tblHeader w:val="true"/>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66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га</w:t>
            </w:r>
          </w:p>
        </w:tc>
        <w:tc>
          <w:tcPr>
            <w:tcW w:w="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lang w:val="en-US"/>
              </w:rPr>
              <w:t>1</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Жилая зона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1762,9</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22,4</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усадебная жилая застройка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lang w:val="en-US"/>
              </w:rPr>
            </w:pPr>
            <w:r>
              <w:rPr>
                <w:rFonts w:ascii="Times New Roman" w:hAnsi="Times New Roman"/>
                <w:color w:val="000000"/>
                <w:sz w:val="20"/>
                <w:szCs w:val="20"/>
                <w:lang w:val="en-US"/>
              </w:rPr>
              <w:t>1456,3</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18,5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блокированная усадебная жилая застройка.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13,2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0,2</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малоэтажная многоквартирная жилая застройка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8,4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среднеэтажная жилая застройка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7,5</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многоэтажная жилая застройка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277,5</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3,5</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2</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Общественно-деловая зона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146,46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1,9</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административного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9,4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учебно-образовательного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60,5</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0,8</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торгового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10,1</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спортивного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15,6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0,2</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здравоохранения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23,4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0,3</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социального, культурно-бытового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0,3</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3794" w:leader="none"/>
              </w:tabs>
              <w:spacing w:lineRule="auto" w:line="240" w:before="0" w:after="0"/>
              <w:ind w:firstLine="567"/>
              <w:rPr>
                <w:rFonts w:ascii="Times New Roman" w:hAnsi="Times New Roman"/>
                <w:sz w:val="20"/>
                <w:szCs w:val="20"/>
              </w:rPr>
            </w:pPr>
            <w:r>
              <w:rPr>
                <w:rFonts w:ascii="Times New Roman" w:hAnsi="Times New Roman"/>
                <w:sz w:val="20"/>
                <w:szCs w:val="20"/>
              </w:rPr>
              <w:t>религиозного использования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5,46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3</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Производственная зона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931</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11,8</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производственного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747,7</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9,5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коммунального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183,3</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2,3</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4</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Инженерная зона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41,9</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0,5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водоснабжения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9,1</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электроснабжения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7,2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водоотведения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25,6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0,3</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5</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Транспортная зона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790,2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10,0</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железнодорожного транспорта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666,7</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8,5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автомобильного транспорта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78,7</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1,0</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дорожного сервиса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44,8</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0,6</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6</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Зона специального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121,6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1,5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оборонного 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29,5</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0,4</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режимных территорий</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22,4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0,3</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ритуального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69,7</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0,9</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7</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Зона рекреационного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618,6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7,9</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городских парков, скверов и бульваров</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85,2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1,1</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зеленых насаждений - кустарников</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304,2</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3,9</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городских лесов</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193,6</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пляжного отдыха</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9,3</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0,1</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объектов рекреационного назначения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26,3</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0,3</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8</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Зона сельскохозяйственного использования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2724,4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lang w:val="en-US"/>
              </w:rPr>
            </w:pPr>
            <w:r>
              <w:rPr>
                <w:rFonts w:ascii="Times New Roman" w:hAnsi="Times New Roman"/>
                <w:b/>
                <w:bCs/>
                <w:color w:val="000000"/>
                <w:sz w:val="20"/>
                <w:szCs w:val="20"/>
              </w:rPr>
              <w:t>34,6</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сельскохозяйственных угодий</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2664,4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lang w:val="en-US"/>
              </w:rPr>
            </w:pPr>
            <w:r>
              <w:rPr>
                <w:rFonts w:ascii="Times New Roman" w:hAnsi="Times New Roman"/>
                <w:color w:val="000000"/>
                <w:sz w:val="20"/>
                <w:szCs w:val="20"/>
              </w:rPr>
              <w:t>33,8</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rPr>
                <w:rFonts w:ascii="Times New Roman" w:hAnsi="Times New Roman"/>
                <w:sz w:val="20"/>
                <w:szCs w:val="20"/>
              </w:rPr>
            </w:pPr>
            <w:r>
              <w:rPr>
                <w:rFonts w:ascii="Times New Roman" w:hAnsi="Times New Roman"/>
                <w:sz w:val="20"/>
                <w:szCs w:val="20"/>
              </w:rPr>
              <w:t>зона коллективных садоводств</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60</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0,8</w:t>
            </w:r>
          </w:p>
        </w:tc>
      </w:tr>
      <w:tr>
        <w:trPr/>
        <w:tc>
          <w:tcPr>
            <w:tcW w:w="5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9</w:t>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Иные территории</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737,9</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b/>
                <w:b/>
                <w:bCs/>
                <w:color w:val="000000"/>
                <w:sz w:val="20"/>
                <w:szCs w:val="20"/>
              </w:rPr>
            </w:pPr>
            <w:r>
              <w:rPr>
                <w:rFonts w:ascii="Times New Roman" w:hAnsi="Times New Roman"/>
                <w:b/>
                <w:bCs/>
                <w:color w:val="000000"/>
                <w:sz w:val="20"/>
                <w:szCs w:val="20"/>
              </w:rPr>
              <w:t>9,4</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t>территория водных объектов</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120</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1,5</w:t>
            </w:r>
          </w:p>
        </w:tc>
      </w:tr>
      <w:tr>
        <w:trPr/>
        <w:tc>
          <w:tcPr>
            <w:tcW w:w="5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t>заболоченные территории</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205,4</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2,6</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center"/>
              <w:rPr>
                <w:rFonts w:ascii="Times New Roman" w:hAnsi="Times New Roman"/>
                <w:sz w:val="20"/>
                <w:szCs w:val="20"/>
              </w:rPr>
            </w:pPr>
            <w:r>
              <w:rPr>
                <w:rFonts w:ascii="Times New Roman" w:hAnsi="Times New Roman"/>
                <w:sz w:val="20"/>
                <w:szCs w:val="20"/>
              </w:rPr>
            </w:r>
          </w:p>
        </w:tc>
        <w:tc>
          <w:tcPr>
            <w:tcW w:w="66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t>территории общего пользования</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412,5</w:t>
            </w:r>
          </w:p>
        </w:tc>
        <w:tc>
          <w:tcPr>
            <w:tcW w:w="98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olor w:val="000000"/>
                <w:sz w:val="20"/>
                <w:szCs w:val="20"/>
              </w:rPr>
            </w:pPr>
            <w:r>
              <w:rPr>
                <w:rFonts w:ascii="Times New Roman" w:hAnsi="Times New Roman"/>
                <w:color w:val="000000"/>
                <w:sz w:val="20"/>
                <w:szCs w:val="20"/>
              </w:rPr>
              <w:t>5,2</w:t>
            </w:r>
          </w:p>
        </w:tc>
      </w:tr>
      <w:tr>
        <w:trPr/>
        <w:tc>
          <w:tcPr>
            <w:tcW w:w="72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b/>
                <w:b/>
                <w:sz w:val="20"/>
                <w:szCs w:val="20"/>
              </w:rPr>
            </w:pPr>
            <w:r>
              <w:rPr>
                <w:rFonts w:ascii="Times New Roman" w:hAnsi="Times New Roman"/>
                <w:b/>
                <w:sz w:val="20"/>
                <w:szCs w:val="20"/>
              </w:rPr>
              <w:t>Земельный фонд всего:</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7874,96</w:t>
            </w:r>
          </w:p>
        </w:tc>
        <w:tc>
          <w:tcPr>
            <w:tcW w:w="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0"/>
                <w:szCs w:val="20"/>
              </w:rPr>
            </w:pPr>
            <w:r>
              <w:rPr>
                <w:rFonts w:ascii="Times New Roman" w:hAnsi="Times New Roman"/>
                <w:b/>
                <w:sz w:val="20"/>
                <w:szCs w:val="20"/>
              </w:rPr>
              <w:t>100</w:t>
            </w:r>
          </w:p>
        </w:tc>
      </w:tr>
    </w:tbl>
    <w:p>
      <w:pPr>
        <w:pStyle w:val="Style47"/>
        <w:numPr>
          <w:ilvl w:val="0"/>
          <w:numId w:val="0"/>
        </w:numPr>
        <w:ind w:left="0" w:hanging="0"/>
        <w:rPr/>
      </w:pPr>
      <w:r>
        <w:rPr/>
      </w:r>
    </w:p>
    <w:p>
      <w:pPr>
        <w:pStyle w:val="2"/>
        <w:numPr>
          <w:ilvl w:val="0"/>
          <w:numId w:val="0"/>
        </w:numPr>
        <w:spacing w:before="0" w:after="0"/>
        <w:ind w:left="0" w:firstLine="567"/>
        <w:jc w:val="both"/>
        <w:rPr>
          <w:sz w:val="24"/>
          <w:szCs w:val="24"/>
        </w:rPr>
      </w:pPr>
      <w:bookmarkStart w:id="52" w:name="_Toc142575263"/>
      <w:bookmarkStart w:id="53" w:name="_Toc135662183"/>
      <w:r>
        <w:rPr>
          <w:sz w:val="24"/>
          <w:szCs w:val="24"/>
        </w:rPr>
        <w:t>2.11. Параметры функциональных зон, а также сведения о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w:t>
      </w:r>
      <w:bookmarkEnd w:id="52"/>
      <w:bookmarkEnd w:id="53"/>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Наименования функциональных зон, их обозначения на Картах представлены в соответствии с приложением к приказу Минэкономразвития России от 09.01.2018 г. №10.</w:t>
      </w:r>
    </w:p>
    <w:p>
      <w:pPr>
        <w:sectPr>
          <w:footerReference w:type="default" r:id="rId5"/>
          <w:footerReference w:type="first" r:id="rId6"/>
          <w:type w:val="nextPage"/>
          <w:pgSz w:w="11906" w:h="16838"/>
          <w:pgMar w:left="1701" w:right="850" w:header="0" w:top="1134" w:footer="708" w:bottom="1134" w:gutter="0"/>
          <w:pgNumType w:fmt="decimal"/>
          <w:formProt w:val="false"/>
          <w:titlePg/>
          <w:textDirection w:val="lrTb"/>
          <w:docGrid w:type="default" w:linePitch="360" w:charSpace="4096"/>
        </w:sect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Параметры функциональных зон, планируемых для объектов капитального строительства и сведения о них представлены в Таблице 12</w:t>
      </w:r>
    </w:p>
    <w:tbl>
      <w:tblPr>
        <w:tblW w:w="15598" w:type="dxa"/>
        <w:jc w:val="left"/>
        <w:tblInd w:w="-577" w:type="dxa"/>
        <w:tblLayout w:type="fixed"/>
        <w:tblCellMar>
          <w:top w:w="0" w:type="dxa"/>
          <w:left w:w="108" w:type="dxa"/>
          <w:bottom w:w="0" w:type="dxa"/>
          <w:right w:w="108" w:type="dxa"/>
        </w:tblCellMar>
        <w:tblLook w:val="00a0"/>
      </w:tblPr>
      <w:tblGrid>
        <w:gridCol w:w="541"/>
        <w:gridCol w:w="3129"/>
        <w:gridCol w:w="1722"/>
        <w:gridCol w:w="1276"/>
        <w:gridCol w:w="992"/>
        <w:gridCol w:w="1842"/>
        <w:gridCol w:w="4820"/>
        <w:gridCol w:w="1274"/>
      </w:tblGrid>
      <w:tr>
        <w:trPr/>
        <w:tc>
          <w:tcPr>
            <w:tcW w:w="15596" w:type="dxa"/>
            <w:gridSpan w:val="8"/>
            <w:tcBorders>
              <w:bottom w:val="single" w:sz="4" w:space="0" w:color="000000"/>
            </w:tcBorders>
          </w:tcPr>
          <w:p>
            <w:pPr>
              <w:pStyle w:val="Style52"/>
              <w:widowControl w:val="false"/>
              <w:numPr>
                <w:ilvl w:val="0"/>
                <w:numId w:val="4"/>
              </w:numPr>
              <w:spacing w:lineRule="auto" w:line="240"/>
              <w:rPr/>
            </w:pPr>
            <w:r>
              <w:rPr/>
              <w:t>Параметры функциональных зон и сведения о планируемых объектах федерального, регионального и местного значения за исключением линейных объектов</w:t>
            </w:r>
          </w:p>
        </w:tc>
      </w:tr>
      <w:tr>
        <w:trPr/>
        <w:tc>
          <w:tcPr>
            <w:tcW w:w="541"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 </w:t>
            </w:r>
            <w:r>
              <w:rPr/>
              <w:t>п/п</w:t>
            </w:r>
          </w:p>
        </w:tc>
        <w:tc>
          <w:tcPr>
            <w:tcW w:w="3129"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Наименование функциональной зоны</w:t>
            </w:r>
          </w:p>
        </w:tc>
        <w:tc>
          <w:tcPr>
            <w:tcW w:w="3990" w:type="dxa"/>
            <w:gridSpan w:val="3"/>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Параметры функциональной зоны</w:t>
            </w:r>
          </w:p>
        </w:tc>
        <w:tc>
          <w:tcPr>
            <w:tcW w:w="184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Адресное описание</w:t>
            </w:r>
          </w:p>
        </w:tc>
        <w:tc>
          <w:tcPr>
            <w:tcW w:w="4820"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Сведения о планируемых для размещения объектах</w:t>
            </w:r>
          </w:p>
        </w:tc>
        <w:tc>
          <w:tcPr>
            <w:tcW w:w="1274"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Значение объекта</w:t>
            </w:r>
          </w:p>
        </w:tc>
      </w:tr>
      <w:tr>
        <w:trPr/>
        <w:tc>
          <w:tcPr>
            <w:tcW w:w="541"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3129"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Коэффициент застройки/коэффициент плотности застройки</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Максимальная этажность застройки</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Площадь зоны, га</w:t>
            </w:r>
          </w:p>
        </w:tc>
        <w:tc>
          <w:tcPr>
            <w:tcW w:w="184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4820"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274"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застройки индивидуальными жилыми домами</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0,2/0,4</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1469,</w:t>
            </w:r>
            <w:r>
              <w:rPr>
                <w:lang w:val="en-US"/>
              </w:rPr>
              <w:t>6</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2</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застройки малоэтажными жилыми домами (до 4 этажей, включая мансардный)</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0,4/0,8</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8,4</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3</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застройки среднеэтажными жилыми домами (от 5 до 8 этажей, включая мансардный)</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0,4/0,8</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8</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7,5</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4</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застройки многоэтажными жилыми домами (9 этажей и более)</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0,4/1,2</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16</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277,</w:t>
            </w:r>
            <w:r>
              <w:rPr>
                <w:lang w:val="en-US"/>
              </w:rPr>
              <w:t>5</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5</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Общественно-деловые зоны</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1,0/3,0</w:t>
            </w:r>
          </w:p>
        </w:tc>
        <w:tc>
          <w:tcPr>
            <w:tcW w:w="1276"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6</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42,1</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vMerge w:val="restart"/>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6</w:t>
            </w:r>
          </w:p>
        </w:tc>
        <w:tc>
          <w:tcPr>
            <w:tcW w:w="3129" w:type="dxa"/>
            <w:vMerge w:val="restart"/>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специализированной общественной застройки</w:t>
            </w:r>
          </w:p>
        </w:tc>
        <w:tc>
          <w:tcPr>
            <w:tcW w:w="172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0,8/2,4</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5</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104,</w:t>
            </w:r>
            <w:r>
              <w:rPr>
                <w:lang w:val="en-US"/>
              </w:rPr>
              <w:t>6</w:t>
            </w:r>
          </w:p>
        </w:tc>
        <w:tc>
          <w:tcPr>
            <w:tcW w:w="184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rPr/>
            </w:pPr>
            <w:r>
              <w:rPr/>
              <w:t>Реконструкция здания КГКУЗ "Краевая туберкулезная больница N 1", расположенного по адресу: ул. Белоярская, д. 1, под КГБУЗ "Алтайский краевой противотуберкулезный диспансер"</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color w:val="000000"/>
              </w:rPr>
              <w:t>Регионального значения</w:t>
            </w:r>
          </w:p>
        </w:tc>
      </w:tr>
      <w:tr>
        <w:trPr/>
        <w:tc>
          <w:tcPr>
            <w:tcW w:w="541"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r>
          </w:p>
        </w:tc>
        <w:tc>
          <w:tcPr>
            <w:tcW w:w="3129"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r>
          </w:p>
        </w:tc>
        <w:tc>
          <w:tcPr>
            <w:tcW w:w="172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84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120" w:after="0"/>
              <w:ind w:hanging="0"/>
              <w:jc w:val="left"/>
              <w:rPr/>
            </w:pPr>
            <w:r>
              <w:rPr/>
              <w:t>Строительство средней общеобразовательной школы</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color w:val="000000"/>
              </w:rPr>
            </w:pPr>
            <w:r>
              <w:rPr>
                <w:color w:val="000000"/>
              </w:rPr>
              <w:t>Местного значения городского округа</w:t>
            </w:r>
          </w:p>
        </w:tc>
      </w:tr>
      <w:tr>
        <w:trPr/>
        <w:tc>
          <w:tcPr>
            <w:tcW w:w="541"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r>
          </w:p>
        </w:tc>
        <w:tc>
          <w:tcPr>
            <w:tcW w:w="3129"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r>
          </w:p>
        </w:tc>
        <w:tc>
          <w:tcPr>
            <w:tcW w:w="172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84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120" w:after="0"/>
              <w:ind w:hanging="0"/>
              <w:rPr/>
            </w:pPr>
            <w:r>
              <w:rPr/>
              <w:t>Строительство физкультурно-оздоровительного комплекса</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color w:val="000000"/>
              </w:rPr>
            </w:pPr>
            <w:r>
              <w:rPr>
                <w:color w:val="000000"/>
              </w:rPr>
              <w:t>Местного значения городского округа</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7</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Производственная зона</w:t>
            </w:r>
          </w:p>
        </w:tc>
        <w:tc>
          <w:tcPr>
            <w:tcW w:w="172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0,8/2,4</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747,8</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vMerge w:val="restart"/>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8</w:t>
            </w:r>
          </w:p>
        </w:tc>
        <w:tc>
          <w:tcPr>
            <w:tcW w:w="3129" w:type="dxa"/>
            <w:vMerge w:val="restart"/>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Коммунально-складская зона</w:t>
            </w:r>
          </w:p>
        </w:tc>
        <w:tc>
          <w:tcPr>
            <w:tcW w:w="172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0,6/1,8</w:t>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183,</w:t>
            </w:r>
            <w:r>
              <w:rPr>
                <w:lang w:val="en-US"/>
              </w:rPr>
              <w:t>3</w:t>
            </w:r>
          </w:p>
        </w:tc>
        <w:tc>
          <w:tcPr>
            <w:tcW w:w="1842" w:type="dxa"/>
            <w:vMerge w:val="restart"/>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t>Реконструкция котельной №1</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color w:val="000000"/>
              </w:rPr>
              <w:t>Местного значения городского округа</w:t>
            </w:r>
          </w:p>
        </w:tc>
      </w:tr>
      <w:tr>
        <w:trPr/>
        <w:tc>
          <w:tcPr>
            <w:tcW w:w="541"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r>
          </w:p>
        </w:tc>
        <w:tc>
          <w:tcPr>
            <w:tcW w:w="3129" w:type="dxa"/>
            <w:vMerge w:val="continue"/>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r>
          </w:p>
        </w:tc>
        <w:tc>
          <w:tcPr>
            <w:tcW w:w="172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1842" w:type="dxa"/>
            <w:vMerge w:val="continue"/>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t>Реконструкция теплового пункта №1</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color w:val="000000"/>
              </w:rPr>
            </w:pPr>
            <w:r>
              <w:rPr>
                <w:color w:val="000000"/>
              </w:rPr>
              <w:t>Местного значения городского округа</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9</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транспортной инфраструктуры</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790,</w:t>
            </w:r>
            <w:r>
              <w:rPr>
                <w:lang w:val="en-US"/>
              </w:rPr>
              <w:t>3</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bookmarkStart w:id="54" w:name="_Hlk136591736"/>
            <w:r>
              <w:rPr/>
              <w:t>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bookmarkEnd w:id="54"/>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color w:val="000000"/>
              </w:rPr>
              <w:t>Регионального значения</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10</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инженерной инфраструктуры</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41,9</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t>Строительство комплекса водозаборных сооружений</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left"/>
              <w:rPr/>
            </w:pPr>
            <w:r>
              <w:rPr>
                <w:color w:val="000000"/>
              </w:rPr>
              <w:t>Местного значения городского округа</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11</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сельскохозяйственных угодий</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2664,4</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12</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 xml:space="preserve">Зона </w:t>
            </w:r>
            <w:r>
              <w:rPr>
                <w:color w:val="000000"/>
              </w:rPr>
              <w:t>садоводческих, огороднических или дачных некоммерческих объединений граждан</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60,0</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13</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рекреационного назначения</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604,9</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лесов</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15,8</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14</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Зоны специального назначения</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26,6</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15</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кладбищ</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69,</w:t>
            </w:r>
            <w:r>
              <w:rPr>
                <w:lang w:val="en-US"/>
              </w:rPr>
              <w:t>8</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pPr>
            <w:r>
              <w:rPr/>
              <w:t>16</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режимных территорий</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22,5</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lang w:val="en-US"/>
              </w:rPr>
            </w:pPr>
            <w:r>
              <w:rPr>
                <w:lang w:val="en-US"/>
              </w:rPr>
              <w:t>17</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Территория общего пользования</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412,</w:t>
            </w:r>
            <w:r>
              <w:rPr>
                <w:lang w:val="en-US"/>
              </w:rPr>
              <w:t>6</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г. Новоалтайск</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lang w:val="en-US"/>
              </w:rPr>
            </w:pPr>
            <w:r>
              <w:rPr>
                <w:lang w:val="en-US"/>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lang w:val="en-US"/>
              </w:rPr>
            </w:pPr>
            <w:r>
              <w:rPr>
                <w:lang w:val="en-US"/>
              </w:rPr>
              <w:t>-</w:t>
            </w:r>
          </w:p>
        </w:tc>
      </w:tr>
      <w:tr>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center"/>
              <w:rPr>
                <w:lang w:val="en-US"/>
              </w:rPr>
            </w:pPr>
            <w:r>
              <w:rPr/>
              <w:t>1</w:t>
            </w:r>
            <w:r>
              <w:rPr>
                <w:lang w:val="en-US"/>
              </w:rPr>
              <w:t>8</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Style51"/>
              <w:widowControl w:val="false"/>
              <w:suppressAutoHyphens w:val="true"/>
              <w:spacing w:lineRule="atLeast" w:line="20" w:before="0" w:after="0"/>
              <w:ind w:hanging="0"/>
              <w:jc w:val="left"/>
              <w:rPr/>
            </w:pPr>
            <w:r>
              <w:rPr/>
              <w:t>Зона акваторий</w:t>
            </w:r>
          </w:p>
        </w:tc>
        <w:tc>
          <w:tcPr>
            <w:tcW w:w="2998" w:type="dxa"/>
            <w:gridSpan w:val="2"/>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Не устанавливается</w:t>
            </w:r>
          </w:p>
        </w:tc>
        <w:tc>
          <w:tcPr>
            <w:tcW w:w="99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3</w:t>
            </w:r>
            <w:r>
              <w:rPr>
                <w:lang w:val="en-US"/>
              </w:rPr>
              <w:t>25</w:t>
            </w:r>
            <w:r>
              <w:rPr/>
              <w:t>,3</w:t>
            </w:r>
            <w:r>
              <w:rPr>
                <w:lang w:val="en-US"/>
              </w:rPr>
              <w:t>6</w:t>
            </w:r>
          </w:p>
        </w:tc>
        <w:tc>
          <w:tcPr>
            <w:tcW w:w="1842"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 xml:space="preserve">г. Новоалтайск </w:t>
            </w:r>
          </w:p>
        </w:tc>
        <w:tc>
          <w:tcPr>
            <w:tcW w:w="4820"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c>
          <w:tcPr>
            <w:tcW w:w="1274" w:type="dxa"/>
            <w:tcBorders>
              <w:top w:val="single" w:sz="4" w:space="0" w:color="000000"/>
              <w:left w:val="single" w:sz="4" w:space="0" w:color="000000"/>
              <w:bottom w:val="single" w:sz="4" w:space="0" w:color="000000"/>
              <w:right w:val="single" w:sz="4" w:space="0" w:color="000000"/>
            </w:tcBorders>
          </w:tcPr>
          <w:p>
            <w:pPr>
              <w:pStyle w:val="Style51"/>
              <w:widowControl w:val="false"/>
              <w:suppressAutoHyphens w:val="true"/>
              <w:spacing w:lineRule="atLeast" w:line="20" w:before="0" w:after="0"/>
              <w:ind w:hanging="0"/>
              <w:jc w:val="center"/>
              <w:rPr/>
            </w:pPr>
            <w:r>
              <w:rPr/>
              <w:t>-</w:t>
            </w:r>
          </w:p>
        </w:tc>
      </w:tr>
    </w:tbl>
    <w:p>
      <w:pPr>
        <w:sectPr>
          <w:footerReference w:type="default" r:id="rId7"/>
          <w:footerReference w:type="first" r:id="rId8"/>
          <w:type w:val="nextPage"/>
          <w:pgSz w:orient="landscape" w:w="16838" w:h="11906"/>
          <w:pgMar w:left="1134" w:right="1134" w:header="0" w:top="1701" w:footer="709" w:bottom="851" w:gutter="0"/>
          <w:pgNumType w:fmt="decimal"/>
          <w:formProt w:val="false"/>
          <w:titlePg/>
          <w:textDirection w:val="lrTb"/>
          <w:docGrid w:type="default" w:linePitch="360" w:charSpace="4096"/>
        </w:sectPr>
        <w:pStyle w:val="Style52"/>
        <w:numPr>
          <w:ilvl w:val="0"/>
          <w:numId w:val="0"/>
        </w:numPr>
        <w:spacing w:lineRule="auto" w:line="240"/>
        <w:ind w:left="2062" w:hanging="360"/>
        <w:rPr/>
      </w:pPr>
      <w:r>
        <w:rPr/>
      </w:r>
    </w:p>
    <w:p>
      <w:pPr>
        <w:pStyle w:val="1"/>
        <w:numPr>
          <w:ilvl w:val="0"/>
          <w:numId w:val="0"/>
        </w:numPr>
        <w:ind w:left="0" w:firstLine="709"/>
        <w:jc w:val="both"/>
        <w:rPr>
          <w:sz w:val="24"/>
          <w:szCs w:val="24"/>
        </w:rPr>
      </w:pPr>
      <w:bookmarkStart w:id="55" w:name="_Toc142575264"/>
      <w:r>
        <w:rPr>
          <w:color w:val="000000"/>
          <w:sz w:val="24"/>
          <w:szCs w:val="24"/>
          <w:shd w:fill="FFFFFF" w:val="clear"/>
        </w:rPr>
        <w:t>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55"/>
    </w:p>
    <w:p>
      <w:pPr>
        <w:pStyle w:val="Style51"/>
        <w:spacing w:before="0" w:after="0"/>
        <w:rPr/>
      </w:pPr>
      <w:r>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pPr>
        <w:pStyle w:val="Style51"/>
        <w:spacing w:before="0" w:after="0"/>
        <w:rPr/>
      </w:pPr>
      <w:r>
        <w:rPr/>
        <w:t xml:space="preserve">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Алтайского края, местными нормативами градостроительного проектирования </w:t>
      </w:r>
      <w:r>
        <w:rPr>
          <w:color w:val="000000"/>
        </w:rPr>
        <w:t xml:space="preserve">городского округа город Новоалтайск Алтайского края, </w:t>
      </w:r>
      <w:r>
        <w:rPr/>
        <w:t>объектами местного значения поселения и муниципального района представлены ниже.</w:t>
      </w:r>
    </w:p>
    <w:p>
      <w:pPr>
        <w:pStyle w:val="Style51"/>
        <w:spacing w:before="0" w:after="0"/>
        <w:rPr>
          <w:b/>
          <w:b/>
          <w:bCs/>
        </w:rPr>
      </w:pPr>
      <w:r>
        <w:rPr/>
        <w:t>Показатели обеспеченности населения объектами местного значения поселения и муниципального района</w:t>
      </w:r>
    </w:p>
    <w:p>
      <w:pPr>
        <w:pStyle w:val="Style54"/>
        <w:spacing w:before="0" w:after="0"/>
        <w:jc w:val="right"/>
        <w:rPr>
          <w:b w:val="false"/>
          <w:b w:val="false"/>
          <w:i/>
          <w:i/>
          <w:sz w:val="28"/>
          <w:szCs w:val="28"/>
        </w:rPr>
      </w:pPr>
      <w:r>
        <w:rPr>
          <w:b w:val="false"/>
          <w:i/>
          <w:sz w:val="28"/>
          <w:szCs w:val="28"/>
        </w:rPr>
      </w:r>
    </w:p>
    <w:tbl>
      <w:tblPr>
        <w:tblW w:w="5000" w:type="pct"/>
        <w:jc w:val="left"/>
        <w:tblInd w:w="103" w:type="dxa"/>
        <w:tblLayout w:type="fixed"/>
        <w:tblCellMar>
          <w:top w:w="0" w:type="dxa"/>
          <w:left w:w="108" w:type="dxa"/>
          <w:bottom w:w="0" w:type="dxa"/>
          <w:right w:w="108" w:type="dxa"/>
        </w:tblCellMar>
        <w:tblLook w:val="00a0"/>
      </w:tblPr>
      <w:tblGrid>
        <w:gridCol w:w="532"/>
        <w:gridCol w:w="4288"/>
        <w:gridCol w:w="1684"/>
        <w:gridCol w:w="1535"/>
        <w:gridCol w:w="1316"/>
      </w:tblGrid>
      <w:tr>
        <w:trPr>
          <w:trHeight w:val="20" w:hRule="atLeast"/>
          <w:cantSplit w:val="true"/>
        </w:trPr>
        <w:tc>
          <w:tcPr>
            <w:tcW w:w="532"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 xml:space="preserve">№ </w:t>
            </w:r>
          </w:p>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п/п</w:t>
            </w:r>
          </w:p>
        </w:tc>
        <w:tc>
          <w:tcPr>
            <w:tcW w:w="4288"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Наименование показателя</w:t>
            </w:r>
          </w:p>
        </w:tc>
        <w:tc>
          <w:tcPr>
            <w:tcW w:w="1684"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 xml:space="preserve">Единица </w:t>
            </w:r>
          </w:p>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измерения</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 xml:space="preserve">Современное </w:t>
            </w:r>
          </w:p>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состояние</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b/>
                <w:b/>
                <w:bCs/>
              </w:rPr>
            </w:pPr>
            <w:r>
              <w:rPr>
                <w:rFonts w:ascii="Times New Roman" w:hAnsi="Times New Roman"/>
                <w:b/>
                <w:bCs/>
              </w:rPr>
              <w:t>Расчетный срок</w:t>
            </w:r>
          </w:p>
        </w:tc>
      </w:tr>
      <w:tr>
        <w:trPr>
          <w:trHeight w:val="20" w:hRule="atLeast"/>
        </w:trPr>
        <w:tc>
          <w:tcPr>
            <w:tcW w:w="5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4288"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rPr>
                <w:rFonts w:ascii="Times New Roman" w:hAnsi="Times New Roman"/>
              </w:rPr>
            </w:pPr>
            <w:r>
              <w:rPr>
                <w:rFonts w:ascii="Times New Roman" w:hAnsi="Times New Roman"/>
              </w:rPr>
              <w:t>Обеспеченность дошкольными образовательными организациями (с учетом межмуниципального обслуживания), мест</w:t>
            </w:r>
          </w:p>
        </w:tc>
        <w:tc>
          <w:tcPr>
            <w:tcW w:w="16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 от нормативного значения</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20" w:hRule="atLeast"/>
        </w:trPr>
        <w:tc>
          <w:tcPr>
            <w:tcW w:w="53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2.</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keepNext w:val="true"/>
              <w:widowControl w:val="false"/>
              <w:spacing w:lineRule="auto" w:line="240" w:before="0" w:after="0"/>
              <w:rPr>
                <w:rFonts w:ascii="Times New Roman" w:hAnsi="Times New Roman"/>
              </w:rPr>
            </w:pPr>
            <w:r>
              <w:rPr>
                <w:rFonts w:ascii="Times New Roman" w:hAnsi="Times New Roman"/>
              </w:rPr>
              <w:t>Обеспеченность общеобразовательными организациями (с учетом межмуниципального обслуживания), мест</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20" w:hRule="atLeast"/>
        </w:trPr>
        <w:tc>
          <w:tcPr>
            <w:tcW w:w="53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3.</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keepNext w:val="true"/>
              <w:widowControl w:val="false"/>
              <w:spacing w:lineRule="auto" w:line="240" w:before="0" w:after="0"/>
              <w:rPr>
                <w:rFonts w:ascii="Times New Roman" w:hAnsi="Times New Roman"/>
              </w:rPr>
            </w:pPr>
            <w:r>
              <w:rPr>
                <w:rFonts w:ascii="Times New Roman" w:hAnsi="Times New Roman"/>
              </w:rPr>
              <w:t>Обеспеченность организациями дополнительного образования (с учетом межмуниципального обслуживания), мест</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355" w:hRule="atLeast"/>
        </w:trPr>
        <w:tc>
          <w:tcPr>
            <w:tcW w:w="53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5.</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keepNext w:val="true"/>
              <w:widowControl w:val="false"/>
              <w:spacing w:lineRule="auto" w:line="240" w:before="0" w:after="0"/>
              <w:rPr>
                <w:rFonts w:ascii="Times New Roman" w:hAnsi="Times New Roman"/>
              </w:rPr>
            </w:pPr>
            <w:r>
              <w:rPr>
                <w:rFonts w:ascii="Times New Roman" w:hAnsi="Times New Roman"/>
              </w:rPr>
              <w:t>Обеспеченность плоскостными спортивными сооружениями (с учетом межмуниципального обслуживания), кв. 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20" w:hRule="atLeast"/>
        </w:trPr>
        <w:tc>
          <w:tcPr>
            <w:tcW w:w="53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6.</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lang w:eastAsia="en-US"/>
              </w:rPr>
            </w:pPr>
            <w:r>
              <w:rPr>
                <w:sz w:val="22"/>
                <w:szCs w:val="22"/>
                <w:lang w:eastAsia="en-US"/>
              </w:rPr>
              <w:t xml:space="preserve">Обеспеченность учреждениями культуры клубного типа </w:t>
            </w:r>
            <w:r>
              <w:rPr>
                <w:sz w:val="22"/>
                <w:szCs w:val="22"/>
              </w:rPr>
              <w:t>(с учетом межмуниципального обслуживания),</w:t>
            </w:r>
            <w:r>
              <w:rPr>
                <w:sz w:val="22"/>
                <w:szCs w:val="22"/>
                <w:lang w:eastAsia="en-US"/>
              </w:rPr>
              <w:t xml:space="preserve"> мест</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20" w:hRule="atLeast"/>
        </w:trPr>
        <w:tc>
          <w:tcPr>
            <w:tcW w:w="53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7.</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lang w:eastAsia="en-US"/>
              </w:rPr>
            </w:pPr>
            <w:r>
              <w:rPr>
                <w:sz w:val="22"/>
                <w:szCs w:val="22"/>
                <w:lang w:eastAsia="en-US"/>
              </w:rPr>
              <w:t>Обеспеченность общедоступными библиотеками сельских поселений, объектов</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rPr>
                <w:rFonts w:ascii="Times New Roman" w:hAnsi="Times New Roman"/>
              </w:rPr>
            </w:pPr>
            <w:r>
              <w:rPr>
                <w:rFonts w:ascii="Times New Roman" w:hAnsi="Times New Roman"/>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c>
          <w:tcPr>
            <w:tcW w:w="1316"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lineRule="auto" w:line="240" w:before="0" w:after="0"/>
              <w:jc w:val="center"/>
              <w:rPr>
                <w:rFonts w:ascii="Times New Roman" w:hAnsi="Times New Roman"/>
              </w:rPr>
            </w:pPr>
            <w:r>
              <w:rPr>
                <w:rFonts w:ascii="Times New Roman" w:hAnsi="Times New Roman"/>
              </w:rPr>
              <w:t>100*</w:t>
            </w:r>
          </w:p>
        </w:tc>
      </w:tr>
      <w:tr>
        <w:trPr>
          <w:trHeight w:val="251" w:hRule="atLeast"/>
        </w:trPr>
        <w:tc>
          <w:tcPr>
            <w:tcW w:w="532" w:type="dxa"/>
            <w:vMerge w:val="restart"/>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t>8.</w:t>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Обеспеченность жилищного фонда:</w:t>
            </w:r>
          </w:p>
        </w:tc>
        <w:tc>
          <w:tcPr>
            <w:tcW w:w="1684" w:type="dxa"/>
            <w:vMerge w:val="restart"/>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 общего жилищного фонда</w:t>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r>
      <w:tr>
        <w:trPr>
          <w:trHeight w:val="20" w:hRule="atLeast"/>
        </w:trPr>
        <w:tc>
          <w:tcPr>
            <w:tcW w:w="532"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 централизованным водоснабжением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lang w:eastAsia="en-US"/>
              </w:rPr>
            </w:pPr>
            <w:r>
              <w:rPr>
                <w:lang w:eastAsia="en-US"/>
              </w:rPr>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80</w:t>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100</w:t>
            </w:r>
          </w:p>
        </w:tc>
      </w:tr>
      <w:tr>
        <w:trPr>
          <w:trHeight w:val="20" w:hRule="atLeast"/>
        </w:trPr>
        <w:tc>
          <w:tcPr>
            <w:tcW w:w="532"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 централизованным водоотведением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lang w:eastAsia="en-US"/>
              </w:rPr>
            </w:pPr>
            <w:r>
              <w:rPr>
                <w:lang w:eastAsia="en-US"/>
              </w:rPr>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w:t>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w:t>
            </w:r>
          </w:p>
        </w:tc>
      </w:tr>
      <w:tr>
        <w:trPr>
          <w:trHeight w:val="20" w:hRule="atLeast"/>
        </w:trPr>
        <w:tc>
          <w:tcPr>
            <w:tcW w:w="532"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 газоснабжением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lang w:eastAsia="en-US"/>
              </w:rPr>
            </w:pPr>
            <w:r>
              <w:rPr>
                <w:lang w:eastAsia="en-US"/>
              </w:rPr>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r>
          </w:p>
        </w:tc>
      </w:tr>
      <w:tr>
        <w:trPr>
          <w:trHeight w:val="20" w:hRule="atLeast"/>
        </w:trPr>
        <w:tc>
          <w:tcPr>
            <w:tcW w:w="532"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 электроснабжением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100</w:t>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100</w:t>
            </w:r>
          </w:p>
        </w:tc>
      </w:tr>
      <w:tr>
        <w:trPr>
          <w:trHeight w:val="20" w:hRule="atLeast"/>
        </w:trPr>
        <w:tc>
          <w:tcPr>
            <w:tcW w:w="532"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Normal"/>
              <w:widowControl w:val="false"/>
              <w:spacing w:lineRule="auto" w:line="240" w:before="0" w:after="0"/>
              <w:jc w:val="center"/>
              <w:rPr>
                <w:rFonts w:ascii="Times New Roman" w:hAnsi="Times New Roman"/>
              </w:rPr>
            </w:pPr>
            <w:r>
              <w:rPr>
                <w:rFonts w:ascii="Times New Roman" w:hAnsi="Times New Roman"/>
              </w:rPr>
            </w:r>
          </w:p>
        </w:tc>
        <w:tc>
          <w:tcPr>
            <w:tcW w:w="42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10"/>
              <w:widowControl w:val="false"/>
              <w:jc w:val="left"/>
              <w:rPr>
                <w:sz w:val="22"/>
                <w:szCs w:val="22"/>
              </w:rPr>
            </w:pPr>
            <w:r>
              <w:rPr>
                <w:sz w:val="22"/>
                <w:szCs w:val="22"/>
              </w:rPr>
              <w:t>- централизованным теплоснабжением</w:t>
            </w:r>
          </w:p>
        </w:tc>
        <w:tc>
          <w:tcPr>
            <w:tcW w:w="1684" w:type="dxa"/>
            <w:vMerge w:val="continue"/>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r>
          </w:p>
        </w:tc>
        <w:tc>
          <w:tcPr>
            <w:tcW w:w="1535"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w:t>
            </w:r>
          </w:p>
        </w:tc>
        <w:tc>
          <w:tcPr>
            <w:tcW w:w="131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pStyle w:val="Style55"/>
              <w:keepLines/>
              <w:widowControl w:val="false"/>
              <w:rPr>
                <w:b w:val="false"/>
                <w:b w:val="false"/>
                <w:lang w:eastAsia="en-US"/>
              </w:rPr>
            </w:pPr>
            <w:r>
              <w:rPr>
                <w:b w:val="false"/>
                <w:lang w:eastAsia="en-US"/>
              </w:rPr>
              <w:t>-</w:t>
            </w:r>
          </w:p>
        </w:tc>
      </w:tr>
    </w:tbl>
    <w:p>
      <w:pPr>
        <w:pStyle w:val="Normal"/>
        <w:ind w:firstLine="540"/>
        <w:jc w:val="both"/>
        <w:rPr>
          <w:rFonts w:ascii="Times New Roman" w:hAnsi="Times New Roman"/>
          <w:sz w:val="20"/>
        </w:rPr>
      </w:pPr>
      <w:r>
        <w:rPr>
          <w:rFonts w:ascii="Times New Roman" w:hAnsi="Times New Roman"/>
          <w:sz w:val="20"/>
        </w:rPr>
        <w:t xml:space="preserve">Примечание * – 100 % и более. </w:t>
      </w:r>
    </w:p>
    <w:p>
      <w:pPr>
        <w:pStyle w:val="Style51"/>
        <w:spacing w:before="0" w:after="0"/>
        <w:rPr/>
      </w:pPr>
      <w:r>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r>
        <w:br w:type="page"/>
      </w:r>
    </w:p>
    <w:p>
      <w:pPr>
        <w:pStyle w:val="Normal"/>
        <w:spacing w:lineRule="auto" w:line="240"/>
        <w:jc w:val="both"/>
        <w:rPr>
          <w:rFonts w:ascii="Times New Roman" w:hAnsi="Times New Roman"/>
          <w:sz w:val="24"/>
          <w:szCs w:val="24"/>
        </w:rPr>
      </w:pPr>
      <w:r>
        <w:rPr>
          <w:rFonts w:ascii="Times New Roman" w:hAnsi="Times New Roman"/>
          <w:sz w:val="24"/>
          <w:szCs w:val="24"/>
        </w:rPr>
      </w:r>
    </w:p>
    <w:p>
      <w:pPr>
        <w:pStyle w:val="1"/>
        <w:numPr>
          <w:ilvl w:val="0"/>
          <w:numId w:val="0"/>
        </w:numPr>
        <w:ind w:left="0" w:firstLine="567"/>
        <w:jc w:val="both"/>
        <w:rPr>
          <w:sz w:val="24"/>
          <w:szCs w:val="24"/>
        </w:rPr>
      </w:pPr>
      <w:bookmarkStart w:id="56" w:name="_Toc142575265"/>
      <w:r>
        <w:rPr>
          <w:color w:val="000000"/>
          <w:sz w:val="24"/>
          <w:szCs w:val="24"/>
          <w:shd w:fill="FFFFFF" w:val="clear"/>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6"/>
    </w:p>
    <w:p>
      <w:pPr>
        <w:pStyle w:val="B"/>
        <w:rPr>
          <w:sz w:val="24"/>
          <w:szCs w:val="24"/>
        </w:rPr>
      </w:pPr>
      <w:r>
        <w:rPr>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территории проектирования размещение объектов федерального значения не запланировано.</w:t>
      </w:r>
    </w:p>
    <w:p>
      <w:pPr>
        <w:pStyle w:val="B"/>
        <w:rPr>
          <w:color w:val="000000"/>
          <w:sz w:val="24"/>
          <w:szCs w:val="24"/>
        </w:rPr>
      </w:pPr>
      <w:r>
        <w:rPr>
          <w:color w:val="000000"/>
          <w:sz w:val="24"/>
          <w:szCs w:val="24"/>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территории проектирования размещение объектов федерального значения не запланировано.</w:t>
      </w:r>
    </w:p>
    <w:p>
      <w:pPr>
        <w:pStyle w:val="B"/>
        <w:rPr>
          <w:color w:val="000000"/>
          <w:sz w:val="24"/>
          <w:szCs w:val="24"/>
        </w:rPr>
      </w:pPr>
      <w:r>
        <w:rPr>
          <w:color w:val="000000"/>
          <w:sz w:val="24"/>
          <w:szCs w:val="24"/>
        </w:rPr>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в границах территории проектирования размещение объектов федерального значения не запланировано.</w:t>
      </w:r>
    </w:p>
    <w:p>
      <w:pPr>
        <w:pStyle w:val="B"/>
        <w:rPr>
          <w:color w:val="000000"/>
          <w:sz w:val="24"/>
          <w:szCs w:val="24"/>
        </w:rPr>
      </w:pPr>
      <w:r>
        <w:rPr>
          <w:color w:val="000000"/>
          <w:sz w:val="24"/>
          <w:szCs w:val="24"/>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в границах территории проектирования размещение объектов федерального значения не запланировано.</w:t>
      </w:r>
    </w:p>
    <w:p>
      <w:pPr>
        <w:pStyle w:val="B"/>
        <w:rPr>
          <w:color w:val="000000"/>
          <w:sz w:val="24"/>
          <w:szCs w:val="24"/>
        </w:rPr>
      </w:pPr>
      <w:r>
        <w:rPr>
          <w:color w:val="000000"/>
          <w:sz w:val="24"/>
          <w:szCs w:val="24"/>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в границах территории проектирования размещение объектов федерального значения не запланировано.</w:t>
      </w:r>
    </w:p>
    <w:p>
      <w:pPr>
        <w:pStyle w:val="ListParagraph"/>
        <w:spacing w:lineRule="auto" w:line="240" w:before="0" w:after="0"/>
        <w:ind w:left="0" w:firstLine="567"/>
        <w:contextualSpacing/>
        <w:jc w:val="both"/>
        <w:rPr>
          <w:rFonts w:ascii="Times New Roman" w:hAnsi="Times New Roman"/>
          <w:color w:val="000000"/>
          <w:sz w:val="24"/>
          <w:szCs w:val="24"/>
        </w:rPr>
      </w:pPr>
      <w:r>
        <w:rPr>
          <w:rFonts w:ascii="Times New Roman" w:hAnsi="Times New Roman"/>
          <w:sz w:val="24"/>
          <w:szCs w:val="24"/>
        </w:rPr>
        <w:t xml:space="preserve">Согласно постановлению Правительства Алтайского края от 09.12.2022 № 482 «Об утверждении Схемы территориального планирования Алтайского края» на территории </w:t>
      </w:r>
      <w:r>
        <w:rPr>
          <w:rFonts w:ascii="Times New Roman" w:hAnsi="Times New Roman"/>
          <w:color w:val="000000"/>
          <w:sz w:val="24"/>
          <w:szCs w:val="24"/>
        </w:rPr>
        <w:t xml:space="preserve">городского округа город Новоалтайск </w:t>
      </w:r>
      <w:r>
        <w:rPr>
          <w:rFonts w:ascii="Times New Roman" w:hAnsi="Times New Roman"/>
          <w:sz w:val="24"/>
          <w:szCs w:val="24"/>
        </w:rPr>
        <w:t>предусматривается размещение объектов регионального значения</w:t>
      </w:r>
      <w:r>
        <w:rPr>
          <w:rFonts w:ascii="Times New Roman" w:hAnsi="Times New Roman"/>
          <w:color w:val="000000"/>
          <w:sz w:val="24"/>
          <w:szCs w:val="24"/>
        </w:rPr>
        <w:t>:</w:t>
      </w:r>
    </w:p>
    <w:p>
      <w:pPr>
        <w:pStyle w:val="ListParagraph"/>
        <w:spacing w:lineRule="auto" w:line="240" w:before="0" w:after="0"/>
        <w:ind w:left="0" w:firstLine="567"/>
        <w:contextualSpacing/>
        <w:jc w:val="both"/>
        <w:rPr>
          <w:rFonts w:ascii="Times New Roman" w:hAnsi="Times New Roman"/>
          <w:color w:val="000000"/>
          <w:sz w:val="24"/>
          <w:szCs w:val="24"/>
        </w:rPr>
      </w:pPr>
      <w:r>
        <w:rPr>
          <w:rFonts w:ascii="Times New Roman" w:hAnsi="Times New Roman"/>
          <w:color w:val="000000"/>
          <w:sz w:val="24"/>
          <w:szCs w:val="24"/>
        </w:rPr>
        <w:t>- Реконструкция здания КГКУЗ «Краевая туберкулезная больница N 1», расположенного по адресу: ул. Белоярская, д. 1, под КГБУЗ "Алтайский краевой противотуберкулезный диспансер» на 250 коек;</w:t>
      </w:r>
    </w:p>
    <w:p>
      <w:pPr>
        <w:pStyle w:val="ListParagraph"/>
        <w:spacing w:lineRule="auto" w:line="240" w:before="0" w:after="0"/>
        <w:ind w:left="0" w:firstLine="567"/>
        <w:contextualSpacing/>
        <w:jc w:val="both"/>
        <w:rPr>
          <w:rFonts w:ascii="Times New Roman" w:hAnsi="Times New Roman"/>
          <w:color w:val="000000"/>
          <w:sz w:val="24"/>
          <w:szCs w:val="24"/>
        </w:rPr>
      </w:pPr>
      <w:r>
        <w:rPr>
          <w:rFonts w:ascii="Times New Roman" w:hAnsi="Times New Roman"/>
          <w:color w:val="000000"/>
          <w:sz w:val="24"/>
          <w:szCs w:val="24"/>
        </w:rPr>
        <w:t>- Строительство автодорожного путепровода над железнодорожными путями с последующим закрытием железнодорожного переезда на станции Алтайская 209 км ПК 1;</w:t>
      </w:r>
    </w:p>
    <w:p>
      <w:pPr>
        <w:pStyle w:val="ListParagraph"/>
        <w:spacing w:lineRule="auto" w:line="240" w:before="0" w:after="0"/>
        <w:ind w:left="0" w:firstLine="567"/>
        <w:contextualSpacing/>
        <w:jc w:val="both"/>
        <w:rPr>
          <w:rFonts w:ascii="Times New Roman" w:hAnsi="Times New Roman"/>
          <w:color w:val="000000"/>
          <w:sz w:val="24"/>
          <w:szCs w:val="24"/>
        </w:rPr>
      </w:pPr>
      <w:r>
        <w:rPr>
          <w:rFonts w:ascii="Times New Roman" w:hAnsi="Times New Roman"/>
          <w:color w:val="000000"/>
          <w:sz w:val="24"/>
          <w:szCs w:val="24"/>
        </w:rPr>
        <w:t>- Создание ТОСЭР на территории г. Новоалтайск - более 900 рабочих мест.</w:t>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sectPr>
          <w:footerReference w:type="default" r:id="rId9"/>
          <w:footerReference w:type="first" r:id="rId10"/>
          <w:type w:val="nextPage"/>
          <w:pgSz w:w="11906" w:h="16838"/>
          <w:pgMar w:left="1701" w:right="850" w:header="0" w:top="1134" w:footer="708" w:bottom="1134" w:gutter="0"/>
          <w:pgNumType w:fmt="decimal"/>
          <w:formProt w:val="false"/>
          <w:titlePg/>
          <w:textDirection w:val="lrTb"/>
          <w:docGrid w:type="default" w:linePitch="360" w:charSpace="4096"/>
        </w:sectPr>
        <w:pStyle w:val="Style47"/>
        <w:numPr>
          <w:ilvl w:val="0"/>
          <w:numId w:val="0"/>
        </w:numPr>
        <w:spacing w:lineRule="auto" w:line="276" w:before="0" w:after="160"/>
        <w:ind w:left="0" w:firstLine="567"/>
        <w:rPr/>
      </w:pPr>
      <w:r>
        <w:rPr/>
      </w:r>
    </w:p>
    <w:p>
      <w:pPr>
        <w:pStyle w:val="1"/>
        <w:numPr>
          <w:ilvl w:val="0"/>
          <w:numId w:val="0"/>
        </w:numPr>
        <w:ind w:left="0" w:firstLine="567"/>
        <w:jc w:val="both"/>
        <w:rPr>
          <w:sz w:val="24"/>
          <w:szCs w:val="24"/>
        </w:rPr>
      </w:pPr>
      <w:bookmarkStart w:id="57" w:name="_Toc142575266"/>
      <w:bookmarkStart w:id="58" w:name="_Toc135662184"/>
      <w:r>
        <w:rPr>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7"/>
      <w:bookmarkEnd w:id="58"/>
    </w:p>
    <w:p>
      <w:pPr>
        <w:pStyle w:val="Normal"/>
        <w:ind w:left="-141" w:firstLine="567"/>
        <w:jc w:val="both"/>
        <w:rPr>
          <w:rFonts w:ascii="Times New Roman" w:hAnsi="Times New Roman"/>
          <w:sz w:val="24"/>
          <w:szCs w:val="24"/>
        </w:rPr>
      </w:pPr>
      <w:r>
        <w:rPr>
          <w:rFonts w:ascii="Times New Roman" w:hAnsi="Times New Roman"/>
          <w:sz w:val="24"/>
          <w:szCs w:val="24"/>
        </w:rPr>
        <w:t>Сведения о планируемых для размещения на территории городского округа объектов местного значения представлены в Таблице 13</w:t>
      </w:r>
    </w:p>
    <w:p>
      <w:pPr>
        <w:pStyle w:val="Style52"/>
        <w:numPr>
          <w:ilvl w:val="0"/>
          <w:numId w:val="4"/>
        </w:numPr>
        <w:spacing w:lineRule="auto" w:line="240"/>
        <w:rPr>
          <w:sz w:val="24"/>
          <w:szCs w:val="24"/>
        </w:rPr>
      </w:pPr>
      <w:r>
        <w:rPr/>
        <w:t>Перечень объектов местного значения, планируемых к размещению на территории городского округа</w:t>
      </w:r>
    </w:p>
    <w:p>
      <w:pPr>
        <w:pStyle w:val="Style52"/>
        <w:numPr>
          <w:ilvl w:val="0"/>
          <w:numId w:val="0"/>
        </w:numPr>
        <w:spacing w:lineRule="auto" w:line="240"/>
        <w:ind w:left="0" w:hanging="0"/>
        <w:jc w:val="left"/>
        <w:rPr>
          <w:sz w:val="24"/>
          <w:szCs w:val="24"/>
        </w:rPr>
      </w:pPr>
      <w:r>
        <w:rPr/>
      </w:r>
    </w:p>
    <w:tbl>
      <w:tblPr>
        <w:tblW w:w="15451" w:type="dxa"/>
        <w:jc w:val="left"/>
        <w:tblInd w:w="-572" w:type="dxa"/>
        <w:tblLayout w:type="fixed"/>
        <w:tblCellMar>
          <w:top w:w="0" w:type="dxa"/>
          <w:left w:w="108" w:type="dxa"/>
          <w:bottom w:w="0" w:type="dxa"/>
          <w:right w:w="108" w:type="dxa"/>
        </w:tblCellMar>
        <w:tblLook w:val="00a0"/>
      </w:tblPr>
      <w:tblGrid>
        <w:gridCol w:w="567"/>
        <w:gridCol w:w="2999"/>
        <w:gridCol w:w="2246"/>
        <w:gridCol w:w="3685"/>
        <w:gridCol w:w="1842"/>
        <w:gridCol w:w="1985"/>
        <w:gridCol w:w="2126"/>
      </w:tblGrid>
      <w:tr>
        <w:trPr>
          <w:tblHeader w:val="true"/>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 xml:space="preserve">№ </w:t>
            </w:r>
            <w:r>
              <w:rPr/>
              <w:t>п</w:t>
            </w:r>
            <w:r>
              <w:rPr>
                <w:lang w:val="en-US"/>
              </w:rPr>
              <w:t>/</w:t>
            </w:r>
            <w:r>
              <w:rPr/>
              <w:t>п</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Наименование объекта</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Вид объекта</w:t>
            </w:r>
          </w:p>
        </w:tc>
        <w:tc>
          <w:tcPr>
            <w:tcW w:w="3685"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Назначение объекта</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42" w:hanging="0"/>
              <w:jc w:val="center"/>
              <w:rPr>
                <w:rFonts w:ascii="Times New Roman" w:hAnsi="Times New Roman"/>
                <w:sz w:val="24"/>
                <w:szCs w:val="24"/>
              </w:rPr>
            </w:pPr>
            <w:r>
              <w:rPr>
                <w:rFonts w:ascii="Times New Roman" w:hAnsi="Times New Roman"/>
                <w:sz w:val="24"/>
                <w:szCs w:val="24"/>
              </w:rPr>
              <w:t>Характеристика</w:t>
            </w:r>
          </w:p>
          <w:p>
            <w:pPr>
              <w:pStyle w:val="Style52"/>
              <w:widowControl w:val="false"/>
              <w:numPr>
                <w:ilvl w:val="0"/>
                <w:numId w:val="0"/>
              </w:numPr>
              <w:spacing w:lineRule="auto" w:line="240"/>
              <w:ind w:left="0" w:hanging="0"/>
              <w:jc w:val="center"/>
              <w:rPr>
                <w:sz w:val="24"/>
                <w:szCs w:val="24"/>
              </w:rPr>
            </w:pPr>
            <w:r>
              <w:rPr/>
              <w:t>объекта</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42" w:hanging="0"/>
              <w:jc w:val="center"/>
              <w:rPr>
                <w:rFonts w:ascii="Times New Roman" w:hAnsi="Times New Roman"/>
                <w:sz w:val="24"/>
                <w:szCs w:val="24"/>
              </w:rPr>
            </w:pPr>
            <w:r>
              <w:rPr>
                <w:rFonts w:ascii="Times New Roman" w:hAnsi="Times New Roman"/>
                <w:sz w:val="24"/>
                <w:szCs w:val="24"/>
              </w:rPr>
              <w:t>Местоположение</w:t>
            </w:r>
          </w:p>
          <w:p>
            <w:pPr>
              <w:pStyle w:val="Style52"/>
              <w:widowControl w:val="false"/>
              <w:numPr>
                <w:ilvl w:val="0"/>
                <w:numId w:val="0"/>
              </w:numPr>
              <w:spacing w:lineRule="auto" w:line="240"/>
              <w:ind w:left="0" w:hanging="0"/>
              <w:jc w:val="center"/>
              <w:rPr>
                <w:sz w:val="24"/>
                <w:szCs w:val="24"/>
              </w:rPr>
            </w:pPr>
            <w:r>
              <w:rPr/>
              <w:t>объекта</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42" w:hanging="0"/>
              <w:jc w:val="center"/>
              <w:rPr>
                <w:rFonts w:ascii="Times New Roman" w:hAnsi="Times New Roman"/>
                <w:sz w:val="24"/>
                <w:szCs w:val="24"/>
              </w:rPr>
            </w:pPr>
            <w:r>
              <w:rPr>
                <w:rFonts w:ascii="Times New Roman" w:hAnsi="Times New Roman"/>
                <w:sz w:val="24"/>
                <w:szCs w:val="24"/>
              </w:rPr>
              <w:t>Характеристики зон с особыми условиями использования</w:t>
            </w:r>
          </w:p>
          <w:p>
            <w:pPr>
              <w:pStyle w:val="Style52"/>
              <w:widowControl w:val="false"/>
              <w:numPr>
                <w:ilvl w:val="0"/>
                <w:numId w:val="0"/>
              </w:numPr>
              <w:spacing w:lineRule="auto" w:line="240"/>
              <w:ind w:left="0" w:hanging="0"/>
              <w:jc w:val="center"/>
              <w:rPr>
                <w:sz w:val="24"/>
                <w:szCs w:val="24"/>
              </w:rPr>
            </w:pPr>
            <w:r>
              <w:rPr/>
              <w:t>территорий</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rPr>
              <w:t>Объекты образования и науки</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Средняя общеобразовательная</w:t>
            </w:r>
          </w:p>
          <w:p>
            <w:pPr>
              <w:pStyle w:val="Style52"/>
              <w:widowControl w:val="false"/>
              <w:numPr>
                <w:ilvl w:val="0"/>
                <w:numId w:val="0"/>
              </w:numPr>
              <w:spacing w:lineRule="auto" w:line="240"/>
              <w:ind w:left="0" w:hanging="0"/>
              <w:jc w:val="left"/>
              <w:rPr>
                <w:sz w:val="24"/>
                <w:szCs w:val="24"/>
              </w:rPr>
            </w:pPr>
            <w:r>
              <w:rPr/>
              <w:t>школа</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Общеобразовательная организация</w:t>
            </w:r>
          </w:p>
        </w:tc>
        <w:tc>
          <w:tcPr>
            <w:tcW w:w="3685"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Создание условий для организации досуга и обеспечения жителей услугами сферы образования и науки</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Строительство</w:t>
            </w:r>
          </w:p>
          <w:p>
            <w:pPr>
              <w:pStyle w:val="Style52"/>
              <w:widowControl w:val="false"/>
              <w:numPr>
                <w:ilvl w:val="0"/>
                <w:numId w:val="0"/>
              </w:numPr>
              <w:spacing w:lineRule="auto" w:line="240"/>
              <w:ind w:left="0" w:hanging="0"/>
              <w:jc w:val="left"/>
              <w:rPr>
                <w:sz w:val="24"/>
                <w:szCs w:val="24"/>
              </w:rPr>
            </w:pPr>
            <w:r>
              <w:rPr/>
              <w:t>на 550 учащихся</w:t>
            </w:r>
          </w:p>
        </w:tc>
        <w:tc>
          <w:tcPr>
            <w:tcW w:w="1985"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г. Новоалтайск, 11 мкр. ул.Прудская, д.23</w:t>
            </w:r>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sz w:val="24"/>
                <w:szCs w:val="24"/>
              </w:rPr>
            </w:pPr>
            <w:r>
              <w:rPr/>
              <w:t>Установление не требуется</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shd w:fill="FFFFFF" w:val="clear"/>
              </w:rPr>
              <w:t>Объекты теплоснабжения</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Котельная №1</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Источник тепловой энергии</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1A1A1A"/>
                <w:sz w:val="24"/>
                <w:szCs w:val="24"/>
                <w:lang w:eastAsia="ru-RU"/>
              </w:rPr>
            </w:pPr>
            <w:r>
              <w:rPr>
                <w:rFonts w:ascii="Times New Roman" w:hAnsi="Times New Roman"/>
                <w:color w:val="1A1A1A"/>
                <w:sz w:val="24"/>
                <w:szCs w:val="24"/>
                <w:lang w:eastAsia="ru-RU"/>
              </w:rPr>
              <w:t>Создание условий для обеспечения жителей объектами теплоснабжения</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 xml:space="preserve">Реконструкция </w:t>
            </w:r>
            <w:r>
              <w:rPr>
                <w:color w:val="1A1A1A"/>
              </w:rPr>
              <w:t>88,15 МВт</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 xml:space="preserve">г. Новоалтайск, </w:t>
            </w:r>
            <w:bookmarkStart w:id="59" w:name="_Hlk136592358"/>
            <w:r>
              <w:rPr>
                <w:rFonts w:ascii="Times New Roman" w:hAnsi="Times New Roman"/>
                <w:sz w:val="24"/>
                <w:szCs w:val="24"/>
              </w:rPr>
              <w:t>ул. Строительная, д.37</w:t>
            </w:r>
            <w:bookmarkEnd w:id="59"/>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согласно СанПиН 2.2.1/2.1.1.1200-03</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2</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Тепловой пункт №1</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Источник тепловой энергии</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1A1A1A"/>
                <w:sz w:val="24"/>
                <w:szCs w:val="24"/>
                <w:lang w:eastAsia="ru-RU"/>
              </w:rPr>
            </w:pPr>
            <w:r>
              <w:rPr>
                <w:rFonts w:ascii="Times New Roman" w:hAnsi="Times New Roman"/>
                <w:color w:val="1A1A1A"/>
                <w:sz w:val="24"/>
                <w:szCs w:val="24"/>
                <w:lang w:eastAsia="ru-RU"/>
              </w:rPr>
              <w:t>Создание условий для обеспечения жителей объектами теплоснабжения</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 xml:space="preserve">Реконструкция </w:t>
            </w:r>
            <w:r>
              <w:rPr>
                <w:color w:val="1A1A1A"/>
              </w:rPr>
              <w:t>6396,5 кВт/ч</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 xml:space="preserve">г. Новоалтайск, </w:t>
            </w:r>
            <w:bookmarkStart w:id="60" w:name="_Hlk136592423"/>
            <w:r>
              <w:rPr>
                <w:rFonts w:ascii="Times New Roman" w:hAnsi="Times New Roman"/>
                <w:sz w:val="24"/>
                <w:szCs w:val="24"/>
              </w:rPr>
              <w:t>ул. Ударника, 12а</w:t>
            </w:r>
            <w:bookmarkEnd w:id="60"/>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согласно СанПиН 2.2.1/2.1.1.1200-03</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rPr>
              <w:t>Сети теплоснабжения</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bookmarkStart w:id="61" w:name="_Hlk136592443"/>
            <w:r>
              <w:rPr/>
              <w:t xml:space="preserve">Перевод на природный газ с заменой существующих тепловых сетей и строительством магистрального трубопровода </w:t>
            </w:r>
            <w:bookmarkEnd w:id="61"/>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Теплопровод магистральный</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1A1A1A"/>
                <w:sz w:val="24"/>
                <w:szCs w:val="24"/>
                <w:lang w:eastAsia="ru-RU"/>
              </w:rPr>
            </w:pPr>
            <w:r>
              <w:rPr>
                <w:rFonts w:ascii="Times New Roman" w:hAnsi="Times New Roman"/>
                <w:color w:val="1A1A1A"/>
                <w:sz w:val="24"/>
                <w:szCs w:val="24"/>
                <w:lang w:eastAsia="ru-RU"/>
              </w:rPr>
              <w:t>Создание условий для обеспечения жителей теплоснабжением</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color w:val="1A1A1A"/>
              </w:rPr>
              <w:t>Строительство4680м</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 xml:space="preserve">г. Новоалтайск, </w:t>
            </w:r>
            <w:bookmarkStart w:id="62" w:name="_Hlk136592462"/>
            <w:bookmarkEnd w:id="62"/>
            <w:r>
              <w:rPr>
                <w:rFonts w:ascii="Times New Roman" w:hAnsi="Times New Roman"/>
                <w:sz w:val="24"/>
                <w:szCs w:val="24"/>
              </w:rPr>
              <w:t>ул. Ударника, 12а до</w:t>
            </w:r>
          </w:p>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ул. Ударника, 3а</w:t>
            </w:r>
            <w:bookmarkStart w:id="63" w:name="_Hlk136592462"/>
            <w:bookmarkEnd w:id="63"/>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согласно СанПиН 2.2.1/2.1.1.1200-03</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rPr>
              <w:t>Объекты водоснабжения</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bookmarkStart w:id="64" w:name="_Hlk136591998"/>
            <w:r>
              <w:rPr/>
              <w:t xml:space="preserve">Комплекс водозаборных сооружений </w:t>
            </w:r>
            <w:bookmarkEnd w:id="64"/>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Водозабор</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1A1A1A"/>
                <w:sz w:val="24"/>
                <w:szCs w:val="24"/>
                <w:lang w:eastAsia="ru-RU"/>
              </w:rPr>
            </w:pPr>
            <w:r>
              <w:rPr>
                <w:rFonts w:ascii="Times New Roman" w:hAnsi="Times New Roman"/>
                <w:color w:val="1A1A1A"/>
                <w:sz w:val="24"/>
                <w:szCs w:val="24"/>
                <w:lang w:eastAsia="ru-RU"/>
              </w:rPr>
              <w:t>Создание условий для обеспечения жителей объектами водоснабжения</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Строительство</w:t>
            </w:r>
          </w:p>
          <w:p>
            <w:pPr>
              <w:pStyle w:val="Style52"/>
              <w:widowControl w:val="false"/>
              <w:numPr>
                <w:ilvl w:val="0"/>
                <w:numId w:val="0"/>
              </w:numPr>
              <w:spacing w:lineRule="auto" w:line="240"/>
              <w:ind w:left="0" w:hanging="0"/>
              <w:jc w:val="left"/>
              <w:rPr>
                <w:sz w:val="24"/>
                <w:szCs w:val="24"/>
              </w:rPr>
            </w:pPr>
            <w:r>
              <w:rPr/>
              <w:t>14 тыс. куб. м./сутки</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г. Новоалтайск, ул. Плодопитомник,16</w:t>
            </w:r>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согласно СанПиН 2.2.1/2.1.1.1200-03</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rPr>
              <w:t>Сети водоотведения</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Напорный коллектор</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Канализация напорная</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1A1A1A"/>
                <w:sz w:val="24"/>
                <w:szCs w:val="24"/>
                <w:lang w:eastAsia="ru-RU"/>
              </w:rPr>
            </w:pPr>
            <w:r>
              <w:rPr>
                <w:rFonts w:ascii="Times New Roman" w:hAnsi="Times New Roman"/>
                <w:color w:val="1A1A1A"/>
                <w:sz w:val="24"/>
                <w:szCs w:val="24"/>
                <w:lang w:eastAsia="ru-RU"/>
              </w:rPr>
              <w:t>Создание условий для обеспечения жителей водоотведением</w:t>
            </w:r>
          </w:p>
        </w:tc>
        <w:tc>
          <w:tcPr>
            <w:tcW w:w="1842"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iCs/>
                <w:color w:val="000000"/>
              </w:rPr>
              <w:t>Строительство4259 м</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bookmarkStart w:id="65" w:name="_Hlk136592156"/>
            <w:r>
              <w:rPr>
                <w:rFonts w:ascii="Times New Roman" w:hAnsi="Times New Roman"/>
                <w:sz w:val="24"/>
                <w:szCs w:val="24"/>
              </w:rPr>
              <w:t>от КНС-2 ул.Магистральная, ул.Набережная переход через пойму р.Чесноковка, ул. Октябрьская, ул. Ударника, переход через ж/д переезд,  ул. Переездная, ул.Новоударника далее переход через ж/д пути и магистральную дорогу до приемной камеры КОС в г. Новоалтайске, Алтайского края</w:t>
            </w:r>
            <w:bookmarkEnd w:id="65"/>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согласно СанПиН 2.2.1/2.1.1.1200-03</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rPr>
            </w:pPr>
            <w:r>
              <w:rPr>
                <w:b/>
                <w:bCs/>
              </w:rPr>
              <w:t>Автомобильные дороги местного значения</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color w:val="000000"/>
              </w:rPr>
            </w:pPr>
            <w:r>
              <w:rPr>
                <w:color w:val="000000"/>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color w:val="000000"/>
                <w:shd w:fill="FFFFFF" w:val="clear"/>
              </w:rPr>
            </w:pPr>
            <w:r>
              <w:rPr>
                <w:color w:val="000000"/>
                <w:shd w:fill="FFFFFF" w:val="clear"/>
              </w:rPr>
              <w:t xml:space="preserve">Автомобильная дорога </w:t>
            </w:r>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color w:val="000000"/>
                <w:shd w:fill="FFFFFF" w:val="clear"/>
              </w:rPr>
            </w:pPr>
            <w:bookmarkStart w:id="66" w:name="_Hlk136591778"/>
            <w:r>
              <w:rPr>
                <w:color w:val="000000"/>
                <w:shd w:fill="FFFFFF" w:val="clear"/>
              </w:rPr>
              <w:t>Автомобильные дороги местного значения</w:t>
            </w:r>
            <w:bookmarkEnd w:id="66"/>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000000"/>
                <w:sz w:val="24"/>
                <w:szCs w:val="24"/>
                <w:shd w:fill="FFFFFF" w:val="clear"/>
              </w:rPr>
            </w:pPr>
            <w:r>
              <w:rPr>
                <w:rFonts w:ascii="Times New Roman" w:hAnsi="Times New Roman"/>
                <w:color w:val="1A1A1A"/>
                <w:sz w:val="24"/>
                <w:szCs w:val="24"/>
                <w:lang w:eastAsia="ru-RU"/>
              </w:rPr>
              <w:t>Создание условий для обеспечения жителей дорогами</w:t>
            </w:r>
          </w:p>
        </w:tc>
        <w:tc>
          <w:tcPr>
            <w:tcW w:w="1842" w:type="dxa"/>
            <w:tcBorders>
              <w:top w:val="single" w:sz="4" w:space="0" w:color="000000"/>
              <w:left w:val="single" w:sz="4" w:space="0" w:color="000000"/>
              <w:bottom w:val="single" w:sz="4" w:space="0" w:color="000000"/>
              <w:right w:val="single" w:sz="4" w:space="0" w:color="000000"/>
            </w:tcBorders>
          </w:tcPr>
          <w:p>
            <w:pPr>
              <w:pStyle w:val="Formattext"/>
              <w:widowControl w:val="false"/>
              <w:shd w:val="clear" w:color="auto" w:fill="FFFFFF"/>
              <w:spacing w:beforeAutospacing="0" w:before="0" w:afterAutospacing="0" w:after="0"/>
              <w:textAlignment w:val="baseline"/>
              <w:rPr>
                <w:sz w:val="24"/>
                <w:szCs w:val="24"/>
              </w:rPr>
            </w:pPr>
            <w:r>
              <w:rPr>
                <w:color w:val="000000"/>
                <w:shd w:fill="FFFFFF" w:val="clear"/>
              </w:rPr>
              <w:t>Строительство 680,5м</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sz w:val="24"/>
                <w:szCs w:val="24"/>
              </w:rPr>
              <w:t>г. Новоалтайск, ул.</w:t>
            </w:r>
            <w:r>
              <w:rPr>
                <w:rFonts w:ascii="Times New Roman" w:hAnsi="Times New Roman"/>
                <w:color w:val="000000"/>
                <w:sz w:val="24"/>
                <w:szCs w:val="24"/>
                <w:shd w:fill="FFFFFF" w:val="clear"/>
              </w:rPr>
              <w:t xml:space="preserve"> Спортивная</w:t>
            </w:r>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Установление не требуется</w:t>
            </w:r>
          </w:p>
        </w:tc>
      </w:tr>
      <w:tr>
        <w:trPr/>
        <w:tc>
          <w:tcPr>
            <w:tcW w:w="15450" w:type="dxa"/>
            <w:gridSpan w:val="7"/>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9"/>
              </w:numPr>
              <w:spacing w:lineRule="auto" w:line="240"/>
              <w:jc w:val="left"/>
              <w:rPr>
                <w:b/>
                <w:b/>
                <w:bCs/>
                <w:color w:val="000000"/>
              </w:rPr>
            </w:pPr>
            <w:r>
              <w:rPr>
                <w:b/>
                <w:bCs/>
                <w:color w:val="000000"/>
              </w:rPr>
              <w:t>Объекты физической культуры и массового спорта</w:t>
            </w:r>
          </w:p>
        </w:tc>
      </w:tr>
      <w:tr>
        <w:trPr/>
        <w:tc>
          <w:tcPr>
            <w:tcW w:w="567"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center"/>
              <w:rPr>
                <w:color w:val="000000"/>
              </w:rPr>
            </w:pPr>
            <w:r>
              <w:rPr>
                <w:color w:val="000000"/>
              </w:rPr>
              <w:t>1</w:t>
            </w:r>
          </w:p>
        </w:tc>
        <w:tc>
          <w:tcPr>
            <w:tcW w:w="2999"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color w:val="000000"/>
                <w:shd w:fill="FFFFFF" w:val="clear"/>
              </w:rPr>
            </w:pPr>
            <w:bookmarkStart w:id="67" w:name="_Hlk136590913"/>
            <w:r>
              <w:rPr>
                <w:color w:val="000000"/>
                <w:shd w:fill="FFFFFF" w:val="clear"/>
              </w:rPr>
              <w:t xml:space="preserve">Физкультурно-оздоровительного комплекса </w:t>
            </w:r>
            <w:bookmarkEnd w:id="67"/>
          </w:p>
        </w:tc>
        <w:tc>
          <w:tcPr>
            <w:tcW w:w="224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color w:val="000000"/>
                <w:shd w:fill="FFFFFF" w:val="clear"/>
              </w:rPr>
            </w:pPr>
            <w:r>
              <w:rPr>
                <w:color w:val="000000"/>
                <w:shd w:fill="FFFFFF" w:val="clear"/>
              </w:rPr>
              <w:t>Объект спорта, включающий раздельно нормируемые спортивные сооружения (объекты) (в т. ч. физкультурно-оздоровительный комплекс)</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40" w:before="0" w:after="0"/>
              <w:rPr>
                <w:rFonts w:ascii="Times New Roman" w:hAnsi="Times New Roman"/>
                <w:color w:val="000000"/>
                <w:sz w:val="24"/>
                <w:szCs w:val="24"/>
                <w:shd w:fill="FFFFFF" w:val="clear"/>
              </w:rPr>
            </w:pPr>
            <w:r>
              <w:rPr>
                <w:rFonts w:ascii="Times New Roman" w:hAnsi="Times New Roman"/>
                <w:color w:val="1A1A1A"/>
                <w:sz w:val="24"/>
                <w:szCs w:val="24"/>
                <w:lang w:eastAsia="ru-RU"/>
              </w:rPr>
              <w:t>Создание условий для организации досуга и обеспечения жителей услугами сферы образования и науки</w:t>
            </w:r>
          </w:p>
        </w:tc>
        <w:tc>
          <w:tcPr>
            <w:tcW w:w="1842" w:type="dxa"/>
            <w:tcBorders>
              <w:top w:val="single" w:sz="4" w:space="0" w:color="000000"/>
              <w:left w:val="single" w:sz="4" w:space="0" w:color="000000"/>
              <w:bottom w:val="single" w:sz="4" w:space="0" w:color="000000"/>
              <w:right w:val="single" w:sz="4" w:space="0" w:color="000000"/>
            </w:tcBorders>
          </w:tcPr>
          <w:p>
            <w:pPr>
              <w:pStyle w:val="Formattext"/>
              <w:widowControl w:val="false"/>
              <w:shd w:val="clear" w:color="auto" w:fill="FFFFFF"/>
              <w:spacing w:beforeAutospacing="0" w:before="0" w:afterAutospacing="0" w:after="0"/>
              <w:textAlignment w:val="baseline"/>
              <w:rPr>
                <w:sz w:val="24"/>
                <w:szCs w:val="24"/>
              </w:rPr>
            </w:pPr>
            <w:r>
              <w:rPr>
                <w:color w:val="000000"/>
                <w:shd w:fill="FFFFFF" w:val="clear"/>
              </w:rPr>
              <w:t>Строительство 1810,00 кв.м</w:t>
            </w:r>
          </w:p>
        </w:tc>
        <w:tc>
          <w:tcPr>
            <w:tcW w:w="1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4"/>
                <w:szCs w:val="24"/>
              </w:rPr>
            </w:pPr>
            <w:r>
              <w:rPr>
                <w:rFonts w:ascii="Times New Roman" w:hAnsi="Times New Roman"/>
                <w:color w:val="000000"/>
                <w:sz w:val="24"/>
                <w:szCs w:val="24"/>
                <w:shd w:fill="FFFFFF" w:val="clear"/>
              </w:rPr>
              <w:t>г. Новоалтайск, ул. Анатолия, 2</w:t>
            </w:r>
          </w:p>
        </w:tc>
        <w:tc>
          <w:tcPr>
            <w:tcW w:w="2126" w:type="dxa"/>
            <w:tcBorders>
              <w:top w:val="single" w:sz="4" w:space="0" w:color="000000"/>
              <w:left w:val="single" w:sz="4" w:space="0" w:color="000000"/>
              <w:bottom w:val="single" w:sz="4" w:space="0" w:color="000000"/>
              <w:right w:val="single" w:sz="4" w:space="0" w:color="000000"/>
            </w:tcBorders>
          </w:tcPr>
          <w:p>
            <w:pPr>
              <w:pStyle w:val="Style52"/>
              <w:widowControl w:val="false"/>
              <w:numPr>
                <w:ilvl w:val="0"/>
                <w:numId w:val="0"/>
              </w:numPr>
              <w:spacing w:lineRule="auto" w:line="240"/>
              <w:ind w:left="0" w:hanging="0"/>
              <w:jc w:val="left"/>
              <w:rPr>
                <w:sz w:val="24"/>
                <w:szCs w:val="24"/>
              </w:rPr>
            </w:pPr>
            <w:r>
              <w:rPr/>
              <w:t>Установление не требуется</w:t>
            </w:r>
          </w:p>
        </w:tc>
      </w:tr>
    </w:tbl>
    <w:p>
      <w:pPr>
        <w:sectPr>
          <w:footerReference w:type="default" r:id="rId11"/>
          <w:footerReference w:type="first" r:id="rId12"/>
          <w:type w:val="nextPage"/>
          <w:pgSz w:orient="landscape" w:w="16838" w:h="11906"/>
          <w:pgMar w:left="1134" w:right="1134" w:header="0" w:top="1701" w:footer="709" w:bottom="851" w:gutter="0"/>
          <w:pgNumType w:fmt="decimal"/>
          <w:formProt w:val="false"/>
          <w:titlePg/>
          <w:textDirection w:val="lrTb"/>
          <w:docGrid w:type="default" w:linePitch="360" w:charSpace="4096"/>
        </w:sectPr>
      </w:pPr>
    </w:p>
    <w:p>
      <w:pPr>
        <w:pStyle w:val="1"/>
        <w:numPr>
          <w:ilvl w:val="0"/>
          <w:numId w:val="0"/>
        </w:numPr>
        <w:ind w:left="0" w:firstLine="567"/>
        <w:jc w:val="both"/>
        <w:rPr>
          <w:sz w:val="24"/>
          <w:szCs w:val="24"/>
        </w:rPr>
      </w:pPr>
      <w:bookmarkStart w:id="68" w:name="_Toc142575267"/>
      <w:bookmarkStart w:id="69" w:name="_Toc135662185"/>
      <w:r>
        <w:rPr>
          <w:sz w:val="24"/>
          <w:szCs w:val="24"/>
        </w:rPr>
        <w:t>6. Перечень и характеристики основных факторов риска возникновения чрезвычайных ситуаций природного и техногенного характера</w:t>
      </w:r>
      <w:bookmarkEnd w:id="68"/>
      <w:bookmarkEnd w:id="69"/>
    </w:p>
    <w:p>
      <w:pPr>
        <w:pStyle w:val="2"/>
        <w:numPr>
          <w:ilvl w:val="1"/>
          <w:numId w:val="3"/>
        </w:numPr>
        <w:tabs>
          <w:tab w:val="clear" w:pos="1134"/>
          <w:tab w:val="left" w:pos="851" w:leader="none"/>
          <w:tab w:val="left" w:pos="1276" w:leader="none"/>
        </w:tabs>
        <w:spacing w:before="0" w:after="0"/>
        <w:ind w:left="0" w:firstLine="567"/>
        <w:rPr>
          <w:sz w:val="24"/>
          <w:szCs w:val="24"/>
        </w:rPr>
      </w:pPr>
      <w:bookmarkStart w:id="70" w:name="_Toc142575268"/>
      <w:bookmarkStart w:id="71" w:name="_Toc135662186"/>
      <w:r>
        <w:rPr>
          <w:sz w:val="24"/>
          <w:szCs w:val="24"/>
        </w:rPr>
        <w:t>Чрезвычайные ситуации природного характера</w:t>
      </w:r>
      <w:bookmarkEnd w:id="70"/>
      <w:bookmarkEnd w:id="71"/>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Опасные геофизические явления.</w:t>
      </w:r>
      <w:r>
        <w:rPr>
          <w:rFonts w:ascii="Times New Roman" w:hAnsi="Times New Roman"/>
          <w:sz w:val="24"/>
          <w:szCs w:val="24"/>
        </w:rPr>
        <w:t xml:space="preserve"> Самыми разрушительными, трудно предсказуемыми, неуправляемыми стихийными бедствиями являются землетрясения. Под землетрясением понимают подземные толчки и колебания земной поверхности, возникающие в результате смещений и разрывов в земной коре или в верхней части мантии и передающиеся на большие расстояния в виде упругих колебаний. Землетрясение относится к внезапно возникающему и быстро распространяющемуся стихийному бедствию. За это время невозможно провести подготовительные и эвакуационные мероприятия, поэтому последствия землетрясений связаны с огромными экономическими потерями и многочисленными человеческими жертвами. Число пострадавших зависит от силы и места землетрясения, плотности населения, высотности и сейсмостойкости строений, времени суток, возможности возникновения вторичных поражающих факторов, уровня подготовки населения и специальных поисково-спасательных формирований (ПСФ).</w:t>
      </w:r>
      <w:bookmarkStart w:id="72" w:name="_Toc319586003"/>
      <w:bookmarkStart w:id="73" w:name="_Toc319934913"/>
      <w:bookmarkEnd w:id="72"/>
      <w:bookmarkEnd w:id="73"/>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Согласно списку населенных пунктов по общему сейсмическому районированию территории Российской Федерации ОСР-2015 г. Новоалтайск расположен в районе с фоновой сейсмической интенсивностью в 6 баллов (со степенью опасности – 10%), 7 баллов (5%) и 8 баллов (1%) соответственно.</w:t>
      </w:r>
    </w:p>
    <w:p>
      <w:pPr>
        <w:pStyle w:val="Normal"/>
        <w:spacing w:lineRule="auto" w:line="240" w:before="0" w:after="0"/>
        <w:ind w:firstLine="567"/>
        <w:jc w:val="both"/>
        <w:rPr>
          <w:rFonts w:ascii="Times New Roman" w:hAnsi="Times New Roman"/>
          <w:b/>
          <w:b/>
          <w:bCs/>
          <w:sz w:val="24"/>
          <w:szCs w:val="24"/>
        </w:rPr>
      </w:pPr>
      <w:r>
        <w:rPr>
          <w:rFonts w:ascii="Times New Roman" w:hAnsi="Times New Roman"/>
          <w:b/>
          <w:bCs/>
          <w:sz w:val="24"/>
          <w:szCs w:val="24"/>
        </w:rPr>
        <w:t xml:space="preserve">Опасные геологические явления. </w:t>
      </w:r>
      <w:r>
        <w:rPr>
          <w:rFonts w:ascii="Times New Roman" w:hAnsi="Times New Roman"/>
          <w:sz w:val="24"/>
          <w:szCs w:val="24"/>
        </w:rPr>
        <w:t>Территория городского округа не подвержена стихийным бедствиям геологического характера: обвалам, оползням, селям, лавинам, камнепадам.</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Опасные гидрологические явления.</w:t>
      </w:r>
      <w:r>
        <w:rPr>
          <w:rFonts w:ascii="Times New Roman" w:hAnsi="Times New Roman"/>
          <w:sz w:val="24"/>
          <w:szCs w:val="24"/>
        </w:rPr>
        <w:t xml:space="preserve"> 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Основные причины наводнений: обильный и сосредоточенный приток воды при таянии снега и ледников, продолжительные ливни, ветровые нагоны воды в устье реки и на морское побережье, загромождение русла реки льдом или бревнами при сплаве леса (заторы), закупоривание русла реки внутренним льдом (зажоры), цунами, прорыв гидротехнических сооружений, оползни и обвалы в долинах водотоков, внезапный выход на поверхность обильных грунтовых вод. Наводнения приводят к быстрому затоплению обширных территорий: при этом травмируются и гибнут люди, сельскохозяйственные и дикие животные, разрушаются или повреждаются жилые, промышленные, подсобные здания и сооружения, объекты коммунального хозяйства, дороги, линии электропередачи и связи. Гибнет урожай сельхозпродуктов, изменяются структура почвы и рельеф местности, прерывается хозяйственная деятельность, уничтожаются или портятся запасы сырья, топлива, продуктов питания, кормов, удобрений, строительных материалов.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По многолетним наблюдениям на территории края прохождения паводка протекает в два этапа (две волны):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Первая волна - начало в 1-й декаде апреля вскрытия рек, в первую очередь в южных районах. 2-я декада апреля – ледоход на реках края. Основную опасность на этом этапе представляют склоновые стоки, подтопления пониженных участков местности, переполнение прудов, накопителей, размывы дорог, дамб.</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Вторая волна - возможен резкий подъем уровней воды, подтопление ряда населённых пунктов и объектов экономики, а также сельхозугодий, расположенных в низменных участках местности.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период половодья в результате затопления автомобильных дорог и мостов возможен размыв дорожного полотна, в результате чего может прерваться сообщение с населенными пунктами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территории МО в западном направлении развития населенного пункта на участках с низкими отметками рельефа возможно затопление в половодья малой 1% обеспеченности. На эти территории «Алтайский краевой центр по гидрометеорологии и мониторингу окружающей среды (ГУ Алтайский ЦГСМ») Лаборатория русловых процессов рек Алтая выполнила Заключение о возможности затопления и разрушения вследствие русловых деформаций участков для размещения селитебных территорий города Новоалтайска.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Рассматриваемый участок расположен на западе от города в пределах высокой поймы р. Оби, с востока на запад земельный участок пересекает современное русло р. Черемшанки, южнее – русло р. Чесноковки.  Кроме этого, территория разделена на практически равные по площади части насыпью грунтовой дороги, идущей на Велижановку и укреплена щебнем и каменной наброской.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соответствии со СНиП 2.07.01-89 «Градостроительство» селитебные территории, расположенные на прибрежных участках, должны быть защищены от затопления паводковыми водами подсыпкой или обвалованием. Отметку бровки откоса следует принимать не менее чем на 0,5 метра выше расчетного горизонта высоких вод с учетом высоты волны при ветровом нагоне. За расчетный горизонт высоких вод для данных территорий следует принимать отметку наивысшего уровня воды повторяемостью 1 раз в 100 лет (уровень 1% малой обеспеченности) равную 136,10 метров. Таким образом для строительства могут быть использованы территории с отметками не менее 136,60 метров БС, либо территории, защищенные дамбой с соответствующими отметками верха.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Современная гидроморфологическая ситуация на реке Оби исключает возможность разрушения территории вследствие деформаций русла. Для предотвращения негативного воздействия со стороны развития руслового процесса необходимо выполнение мероприятий по укреплению берегов притоков. Современное русло реки Оби отделено от староречья высокой насыпью грунтовой дороги и транзитного потока воды по старому руслу в настоящее время не осуществляется. Оно служит естественной дреной для местного поверхностного стока и лишь во время половодья в него заходит Обская вода, поэтому существенных русловых деформаций ожидать не приходится и при своевременном принятии защитных мер против разрушения отдельных участков берега и появлении береговых оврагов серьезной опасности не ожидается. </w:t>
      </w:r>
    </w:p>
    <w:p>
      <w:pPr>
        <w:pStyle w:val="Normal"/>
        <w:spacing w:lineRule="auto" w:line="240" w:before="0" w:after="0"/>
        <w:ind w:firstLine="567"/>
        <w:jc w:val="both"/>
        <w:rPr>
          <w:sz w:val="24"/>
          <w:szCs w:val="24"/>
        </w:rPr>
      </w:pPr>
      <w:r>
        <w:rPr>
          <w:rFonts w:ascii="Times New Roman" w:hAnsi="Times New Roman"/>
          <w:b/>
          <w:bCs/>
          <w:sz w:val="24"/>
          <w:szCs w:val="24"/>
        </w:rPr>
        <w:t xml:space="preserve">Опасные метеорологические явления. </w:t>
      </w:r>
      <w:r>
        <w:rPr>
          <w:rFonts w:ascii="Times New Roman" w:hAnsi="Times New Roman"/>
          <w:sz w:val="24"/>
          <w:szCs w:val="24"/>
        </w:rPr>
        <w:t>На основании многолетних наблюдений и анализа состояния природной среды на территории Алтайского края возможны чрезвычайные ситуации природного характера, обусловленные следующими опасными погодными явлениями</w:t>
      </w:r>
      <w:r>
        <w:rPr/>
        <w:t>:</w:t>
      </w:r>
    </w:p>
    <w:p>
      <w:pPr>
        <w:pStyle w:val="Style47"/>
        <w:numPr>
          <w:ilvl w:val="0"/>
          <w:numId w:val="8"/>
        </w:numPr>
        <w:spacing w:before="0" w:after="0"/>
        <w:ind w:left="1" w:firstLine="567"/>
        <w:rPr>
          <w:sz w:val="24"/>
          <w:szCs w:val="24"/>
        </w:rPr>
      </w:pPr>
      <w:r>
        <w:rPr/>
        <w:t>очень сильный снег (ноябрь - февраль) – количество осадков не менее 20 мм за период не более 12 часов. В результате возможны прекращение сообщения с отдельными районами на 1 сутки и более, выход из строя линий связи и электропередач, нарушения в работе транспорта;</w:t>
      </w:r>
    </w:p>
    <w:p>
      <w:pPr>
        <w:pStyle w:val="Style47"/>
        <w:numPr>
          <w:ilvl w:val="0"/>
          <w:numId w:val="8"/>
        </w:numPr>
        <w:spacing w:before="0" w:after="0"/>
        <w:ind w:left="1" w:firstLine="567"/>
        <w:rPr>
          <w:sz w:val="24"/>
          <w:szCs w:val="24"/>
        </w:rPr>
      </w:pPr>
      <w:r>
        <w:rPr/>
        <w:t>сильное гололёдно-изморозевое отложение (ноябрь - февраль) – с диаметром отложения льда на проводах не менее 20 мм. Вызывает большое намерзание льда на ЛЭП, что нередко приводит к поломке опор, обрыву проводов, к прекращению подачи электроэнергии предприятиям и населённым пунктам. Данное явление возможно в любом районе края. Нарушение жизнедеятельности на 1 сутки и более;</w:t>
      </w:r>
    </w:p>
    <w:p>
      <w:pPr>
        <w:pStyle w:val="Style47"/>
        <w:numPr>
          <w:ilvl w:val="0"/>
          <w:numId w:val="8"/>
        </w:numPr>
        <w:spacing w:before="0" w:after="0"/>
        <w:ind w:left="1" w:firstLine="567"/>
        <w:rPr>
          <w:sz w:val="24"/>
          <w:szCs w:val="24"/>
        </w:rPr>
      </w:pPr>
      <w:r>
        <w:rPr/>
        <w:t>сильная метель (ноябрь - март) – перенос снега при скорости ветра не менее 15 м/сек и с минимальной дальностью видимости не более 500 метров продолжительностью не менее 12 часов. Может быть полностью парализована работа всех видов транспорта;</w:t>
      </w:r>
    </w:p>
    <w:p>
      <w:pPr>
        <w:pStyle w:val="Style47"/>
        <w:numPr>
          <w:ilvl w:val="0"/>
          <w:numId w:val="8"/>
        </w:numPr>
        <w:spacing w:before="0" w:after="0"/>
        <w:ind w:left="1" w:firstLine="567"/>
        <w:rPr>
          <w:sz w:val="24"/>
          <w:szCs w:val="24"/>
        </w:rPr>
      </w:pPr>
      <w:r>
        <w:rPr/>
        <w:t>сильный мороз (ноябрь - март) – сохранение минимальной температуры минус 400С и ниже в течение 3-х суток и более. Может вызвать затруднение работы предприятий топливно - энергетического комплекса, транспорта, животноводства, аварии на этих предприятиях, возможно обморожение людей;</w:t>
      </w:r>
    </w:p>
    <w:p>
      <w:pPr>
        <w:pStyle w:val="Style47"/>
        <w:numPr>
          <w:ilvl w:val="0"/>
          <w:numId w:val="8"/>
        </w:numPr>
        <w:spacing w:before="0" w:after="0"/>
        <w:ind w:left="1" w:firstLine="567"/>
        <w:rPr>
          <w:sz w:val="24"/>
          <w:szCs w:val="24"/>
        </w:rPr>
      </w:pPr>
      <w:r>
        <w:rPr/>
        <w:t>очень сильные дожди (июнь-август) – с количеством осадков 50 мм и более за период не более 12 часов. Сильные дожди могут вызвать подтопление жилых домов, размывание дорог, разрушение мостов, затопление посевов, разрушение линий связи и электропередач;</w:t>
      </w:r>
    </w:p>
    <w:p>
      <w:pPr>
        <w:pStyle w:val="Style47"/>
        <w:numPr>
          <w:ilvl w:val="0"/>
          <w:numId w:val="8"/>
        </w:numPr>
        <w:spacing w:before="0" w:after="0"/>
        <w:ind w:left="1" w:firstLine="567"/>
        <w:rPr>
          <w:sz w:val="24"/>
          <w:szCs w:val="24"/>
        </w:rPr>
      </w:pPr>
      <w:r>
        <w:rPr/>
        <w:t>крупный град (июнь-середина июля) – диаметр градин 20 мм и более. Может проходить на всей территории. В результате крупного града могут пострадать люди, объекты инфраструктуры, а также возможно повреждение сельхоз культур (потеря урожая);</w:t>
      </w:r>
    </w:p>
    <w:p>
      <w:pPr>
        <w:pStyle w:val="Style47"/>
        <w:numPr>
          <w:ilvl w:val="0"/>
          <w:numId w:val="8"/>
        </w:numPr>
        <w:spacing w:before="0" w:after="0"/>
        <w:ind w:left="1" w:firstLine="567"/>
        <w:rPr>
          <w:sz w:val="24"/>
          <w:szCs w:val="24"/>
        </w:rPr>
      </w:pPr>
      <w:r>
        <w:rPr/>
        <w:t>очень сильный ветер (круглогодично) – при скорости ветра 25 м/с и более может быть нарушена работа транспорта, объектов энергетики и ЖКХ, а также высока вероятность обрыва линий связи и электропередач. Возникновение сильных ветров наиболее вероятно в лесостепной зоне края.</w:t>
      </w:r>
    </w:p>
    <w:p>
      <w:pPr>
        <w:pStyle w:val="Style47"/>
        <w:numPr>
          <w:ilvl w:val="0"/>
          <w:numId w:val="0"/>
        </w:numPr>
        <w:spacing w:before="0" w:after="0"/>
        <w:ind w:left="0" w:firstLine="567"/>
        <w:rPr>
          <w:sz w:val="24"/>
          <w:szCs w:val="24"/>
        </w:rPr>
      </w:pPr>
      <w:r>
        <w:rPr>
          <w:b/>
          <w:bCs/>
        </w:rPr>
        <w:t xml:space="preserve">Природные пожары. </w:t>
      </w:r>
      <w:r>
        <w:rPr/>
        <w:t>Наиболее пожароопасным периодом являются конец апреля – май, когда по многолетним наблюдениям длительное время сохраняется ветреная и сухая погода, способствующая быстрому высыханию лесных горючих материалов и распространению возникших очагов пожаров на значительные площади. Второй пик их возникновения приходится на осень (сентябрь – октябрь), когда высохший травяной покров становится особенно быстро воспламеняющимся. При раннем разрушении снежного покрова, возможно, начало пожароопасного периода в первой половине апреля. Особую опасность представляют леса Барнаульского, Лебяжинского, Озерского лесничеств и Бийского лесхоз-техникума, служащих местами отдыха и сбора лесных ресурсов для населения Барнаула, Бийска и Новоалтайска.</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Причины возникновения лесных пожаров в 2020 году: 27 (6,65 %) - с земель иных категорий (земли с/х назначений, муниципальных образований, линейных объектов и другое), 2 - по вине лесопользователя (0,49 %), 216 (53,21 %) - неустановленные причины, по вине граждан и других организаций, 161 (39,65 %) - грозовые разряды, 0 (0 %) - переход с территории соседних субъектов Российской Федерации, территории соседнего государства.</w:t>
      </w:r>
    </w:p>
    <w:p>
      <w:pPr>
        <w:pStyle w:val="2"/>
        <w:numPr>
          <w:ilvl w:val="1"/>
          <w:numId w:val="3"/>
        </w:numPr>
        <w:tabs>
          <w:tab w:val="clear" w:pos="1134"/>
          <w:tab w:val="left" w:pos="851" w:leader="none"/>
          <w:tab w:val="left" w:pos="1276" w:leader="none"/>
        </w:tabs>
        <w:spacing w:before="0" w:after="0"/>
        <w:ind w:left="0" w:firstLine="567"/>
        <w:rPr>
          <w:sz w:val="24"/>
          <w:szCs w:val="24"/>
        </w:rPr>
      </w:pPr>
      <w:bookmarkStart w:id="74" w:name="_Toc142575269"/>
      <w:bookmarkStart w:id="75" w:name="_Toc135662187"/>
      <w:r>
        <w:rPr>
          <w:sz w:val="24"/>
          <w:szCs w:val="24"/>
        </w:rPr>
        <w:t>Чрезвычайные ситуации техногенного характера</w:t>
      </w:r>
      <w:bookmarkEnd w:id="74"/>
      <w:bookmarkEnd w:id="75"/>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Основной тенденцией формирования техногенных опасностей для Алтайского края являются значительное сезонное увеличение количества техногенных чрезвычайных ситуаций и преобладание в их структуре таких видов, как пожары на объектах жилого, социально-бытового и культурного назначения, на промышленных объектах, дорожно-транспортные происшествия с тяжелыми последствиями, аварии на коммунально-энергетических сетях.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Увеличение количества бытовых пожаров в зимний период обусловлено началом отопительного сезона и нарушением правил эксплуатации печного и электрического оборудования в частном жилом секторе, также сохраняется высокий риск возникновения пожаров по причине неосторожного обращения с огнем. Возможны возгорания транспортных средств по причине неисправности систем, механизмов и узлов.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Увеличение аварий на коммунально-энергетических сетях в зимний период обусловлено значительным возрастанием нагрузок на системы электроснабжения и теплоснабжения населенных пунктов и промышленных предприятий, тяжелыми условиями эксплуатации технологического оборудования при больших перепадах температуры и влажности воздуха.</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Пожары в зданиях.</w:t>
      </w:r>
      <w:r>
        <w:rPr>
          <w:rFonts w:ascii="Times New Roman" w:hAnsi="Times New Roman"/>
          <w:sz w:val="24"/>
          <w:szCs w:val="24"/>
        </w:rPr>
        <w:t xml:space="preserve"> Всего с начала года в крае произошло 13320 пожаров (АППГ - 14041, уменьшение на 5,1 %); погибли 163 человека (АППГ - 192, уменьшение на 15,1 %); травмированы 157 человек (АППГ - 160, уменьшение на 1,9 %); спасено 426 человек (АППГ - 927, уменьшение в 2,2 раза).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Основными причинами происшедших пожаров явились: 11065 (83,07% от общего числа) неосторожное обращение с огнём, нарушение правил пожарной безопасности при эксплуатации печей - 820 (6,16% от общего числа); электротехнические причины - 906 (6,8 % от общего числа); поджог - 129 пожаров (0,97% от общего числа), прочие - 400 (3% от общего числа).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2021 году количество пожаров рассматриваемого вида может достигнуть до 14050. Общее число погибших на пожарах может достигнуть до 170-180 человек.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Основными причинами возникновения пожаров могут стать: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неосторожное обращение с огнем (наибольшее количество пожаров - апрель-сентябрь);</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нарушение правил устройства и эксплуатации электрооборудования (наибольшее количество пожаров - март-апрель, июль-август);</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нарушение правил устройства и эксплуатации печей, теплопроизводящих установок (наибольшее количество пожаров - январь - апрель, октябрь-декабрь).</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Аварии на транспорте.</w:t>
      </w:r>
      <w:r>
        <w:rPr>
          <w:rFonts w:ascii="Times New Roman" w:hAnsi="Times New Roman"/>
          <w:sz w:val="24"/>
          <w:szCs w:val="24"/>
        </w:rPr>
        <w:t xml:space="preserve"> Протяженность автодорог общего пользования в крае составляет - 16122 км, из них: федеральные дороги - 627 км, территориальные - 15495 км.</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Аварийность на автомобильном транспорте продолжает оставаться высокой.</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На 08 декабря 2020 года зарегистрировано 1589 ДТП с пострадавшими (АППГ - 1593), в которых погиб 110 человек (АППГ - 116) и травмировано 1675 человек (АППГ - 1918). Отмечено уменьшение количества ДТП в сравнении с 2019 г., а также уменьшение количества ДТП со смертельным исходом, отмечается увеличение количество травмированных в результате ДТП.</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2021 году возможно перекрытие автодорог Алтайского края в связи со сложными метеорологическими условиями (снег, метель, снежные заносы, ухудшения видимости). Особенно высок риск ограничения транспортного сообщения в осенне-зимний период.</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летние месяцы велика вероятность возникновения ДТП с мото- и вело- транспортом на всей территории края.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2021 году количество ДТП может достигнуть 1690-1750 случаев.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Сохраняется риск возникновения происшествий на железнодорожном транспорте, связанных со сходом колесных пар вагонов и платформ, неисправностями путей, контактной сети, систем управления движением, выходом из строя стрелочных переводов, перевозкой опасных грузов, а так же при снижении видимости в тумане в ночное время и утренние часы.</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Сохраняется вероятность возникновения авиационных инцидентов и происшествий при несоблюдении технических регламентов эксплуатации воздушных судов, инфраструктуры аэропортов, влиянии неблагоприятных метеорологических условий, человеческого фактора.</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Аварии на объектах топливно-энергетического комплекса и жилищно-коммунального хозяйства.</w:t>
      </w:r>
      <w:r>
        <w:rPr>
          <w:rFonts w:ascii="Times New Roman" w:hAnsi="Times New Roman"/>
          <w:sz w:val="24"/>
          <w:szCs w:val="24"/>
        </w:rPr>
        <w:t xml:space="preserve"> 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для территорий с высокой концентрацией объектов техносферы и населения. На основании статистических данных последних лет ежегодно в осенне-зимний период на территории Алтайского края происходят происшествия на объектах жилищно-коммунального хозяйства, аварийное отключение отопления, холодного и горячего водоснабжения в связи с порывами теплотрасс и водоводов, снижение запасов топлива и некачественного угля, повреждения электрооборудования и ЛЭП.</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Анализ аварийных ситуаций, связанных с прекращением электроснабжения потребителей из-за обрывов проводов ЛЭП и авариями на трансформаторных подстанциях, показывает, что наибольшее их количество происходит в январе, июне-августе и октябре-ноябре. Для этих периодов характерно прохождение мощных циклонов с усилением ветра до 25 м/с и выше с комплексом опасных и неблагоприятны явлений.</w:t>
      </w:r>
    </w:p>
    <w:p>
      <w:pPr>
        <w:pStyle w:val="Normal"/>
        <w:spacing w:lineRule="auto" w:line="240" w:before="0" w:after="0"/>
        <w:ind w:firstLine="567"/>
        <w:jc w:val="both"/>
        <w:rPr>
          <w:rFonts w:ascii="Times New Roman" w:hAnsi="Times New Roman"/>
          <w:sz w:val="24"/>
          <w:szCs w:val="24"/>
        </w:rPr>
      </w:pPr>
      <w:r>
        <w:rPr>
          <w:rFonts w:ascii="Times New Roman" w:hAnsi="Times New Roman"/>
          <w:b/>
          <w:bCs/>
          <w:sz w:val="24"/>
          <w:szCs w:val="24"/>
        </w:rPr>
        <w:t>Происшествия на водных объектах</w:t>
      </w:r>
      <w:r>
        <w:rPr>
          <w:rFonts w:ascii="Times New Roman" w:hAnsi="Times New Roman"/>
          <w:sz w:val="24"/>
          <w:szCs w:val="24"/>
        </w:rPr>
        <w:t>. На 14 декабря 2020 году по оперативным данным зарегистрировано на водных объектах с начала года зарегистрировано и подтверждено Росстатом 75 происшествий (АППГ - 74), погибло 77 человек (АППГ - 72), спасено 5 (АППГ - 8). В сравнении с аналогичным периодом прошлого года количество происшествий увеличилось на 1,4 % (на 1 случай), количество погибших увеличилось на 7% (на 5 человек), количество спасенных уменьшилось на 37,5% (3 человека).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Основное количество случаев гибели людей приходится на летний период (с мая по сентябрь), что связано с наступлением жаркой погоды и открытием купального сезона.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осенне-зимний период на водоёмах на всей территории края высока вероятность происшествий обусловленные провалами людей и техники на льду в традиционных местах лова рыбы и на несанкционированных переправах.</w:t>
      </w:r>
    </w:p>
    <w:p>
      <w:pPr>
        <w:pStyle w:val="2"/>
        <w:numPr>
          <w:ilvl w:val="1"/>
          <w:numId w:val="3"/>
        </w:numPr>
        <w:tabs>
          <w:tab w:val="clear" w:pos="1134"/>
          <w:tab w:val="left" w:pos="851" w:leader="none"/>
          <w:tab w:val="left" w:pos="1276" w:leader="none"/>
        </w:tabs>
        <w:spacing w:before="0" w:after="0"/>
        <w:ind w:left="0" w:firstLine="567"/>
        <w:rPr>
          <w:sz w:val="24"/>
          <w:szCs w:val="24"/>
        </w:rPr>
      </w:pPr>
      <w:bookmarkStart w:id="76" w:name="_Toc142575270"/>
      <w:bookmarkStart w:id="77" w:name="_Toc135662188"/>
      <w:r>
        <w:rPr>
          <w:sz w:val="24"/>
          <w:szCs w:val="24"/>
        </w:rPr>
        <w:t>Чрезвычайные ситуации биолого-социального характера</w:t>
      </w:r>
      <w:bookmarkEnd w:id="76"/>
      <w:bookmarkEnd w:id="77"/>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1. Санитарно-эпидемиологическая обстановка на территории Алтайского края в настоящее время характеризуется как неблагополучно стабильная, ожидается спад заболеваемости коронавирусной инфекцией. В период сезонного подъема гриппа в последние годы, в период с января по март и с октября по декабрь, имеет тенденцию к устойчивому росту с увеличением тяжелых и осложненных форм, заболеваемость внебольничными пневмониями.</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2. В период с апреля по октябрь прогнозируется риск, связанный с активностью клещей. Возможно выявление случаев клещевого энцефалита и клещевого боррелиоза. Число заболевших клещевым энцефалитом может быть 30-35 человек, клещевым боррелиозом до 30 человек.</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3. Территория края является стационарно неблагополучной по заболеванию бешенством. Сохраняется тенденция стабильного неблагополучия.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2020 году в крае вспышечной заболеваемости среди сельскохозяйственных животных и птицы, расцениваемой по критериям ЧС, не зарегистрировано.</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Основу природного резервуара вируса составляют популяции диких животных – лиса, барсук, в тоже время источником вируса в нескольких случаях явились домашние животные – собаки, кошки. Эпизоотия бешенства сохраняет выраженный природный характер. Отмечаются циклические изменения интенсивности эпизоотического процесса, зависимые от периодов гона и миграции диких животных.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4. Фитосанитарная обстановка в крае может существенно осложниться из-за увеличения численности и вредоносности вредителей, а также из-за заноса вредителей с приграничных территорий Республики Казахстан.</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Сохраняется опасность распространения саранчовых вредителей на территории края.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1"/>
        <w:numPr>
          <w:ilvl w:val="0"/>
          <w:numId w:val="0"/>
        </w:numPr>
        <w:ind w:left="0" w:firstLine="709"/>
        <w:jc w:val="both"/>
        <w:rPr>
          <w:sz w:val="24"/>
          <w:szCs w:val="24"/>
        </w:rPr>
      </w:pPr>
      <w:bookmarkStart w:id="78" w:name="_Toc142575271"/>
      <w:bookmarkStart w:id="79" w:name="_Toc135662189"/>
      <w:r>
        <w:rPr>
          <w:sz w:val="24"/>
          <w:szCs w:val="24"/>
        </w:rPr>
        <w:t>7. Перечень земельных участков, которые включаются в границы населенных пунктов, входящих в состав поселения или исключатся из их границ, с указанием категорий земель, к которым планируется отнести эти земельные участки, и целей их планируемого использования</w:t>
      </w:r>
      <w:bookmarkEnd w:id="78"/>
      <w:bookmarkEnd w:id="79"/>
      <w:r>
        <w:rPr>
          <w:sz w:val="24"/>
          <w:szCs w:val="24"/>
        </w:rPr>
        <w:t xml:space="preserve">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Данный раздел обосновывающих материалов по внесению изменений в генеральный план обусловлен реализаций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городского округа, осуществляется в границах городского округа.</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Порядок установления или изменения границ населенных пунктов установлен в части 1 статьи 84 Земельного кодекса Российской Федерации. Установлением или изменением границ населенных пунктов является: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 xml:space="preserve">1)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Согласно части 1 статьи 8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В настоящее время в Единый государственный реестр недвижимости внесены границы муниципального образования городского округа (реестровый номер ЕГРН границы МО 22:00-3.261). Появилась необходимость в установлении границ населенного пункта г. Новоалтайска путём отнесения части территории земель сельскохозяйственного назначения к территории Первомайского района, садоводческого некоммерческого товарищества «Новогорское».</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t>Граница городского округа город Новоалтайск Алтайского края нуждается в изменении в связи с несоответствием ее расположения с фактическим использованием земель, а именно с пересечением с границами земельных участков с кадастровыми номерами 22:69:010204:1, 22:69:010204:30, 22:69:010204:12, 22:69:010204:25, 22:69:010204:34, 22:69:010205:43, 22:69:010205:24, 22:69:010205:26, 22:69:010208:33, 22:69:010208:110, 22:69:010205:443, 22:69:010205:444  (см. Таблица 14)</w:t>
      </w:r>
    </w:p>
    <w:p>
      <w:pPr>
        <w:pStyle w:val="Style52"/>
        <w:numPr>
          <w:ilvl w:val="0"/>
          <w:numId w:val="4"/>
        </w:numPr>
        <w:spacing w:lineRule="auto" w:line="240"/>
        <w:rPr>
          <w:sz w:val="24"/>
          <w:szCs w:val="24"/>
        </w:rPr>
      </w:pPr>
      <w:r>
        <w:rPr/>
        <w:t>Перечень земельных участков, которые включаются в границы населенного пункта или исключаются из его границ</w:t>
      </w:r>
    </w:p>
    <w:tbl>
      <w:tblPr>
        <w:tblW w:w="5000" w:type="pct"/>
        <w:jc w:val="left"/>
        <w:tblInd w:w="0" w:type="dxa"/>
        <w:tblLayout w:type="fixed"/>
        <w:tblCellMar>
          <w:top w:w="0" w:type="dxa"/>
          <w:left w:w="108" w:type="dxa"/>
          <w:bottom w:w="0" w:type="dxa"/>
          <w:right w:w="108" w:type="dxa"/>
        </w:tblCellMar>
        <w:tblLook w:val="0000"/>
      </w:tblPr>
      <w:tblGrid>
        <w:gridCol w:w="475"/>
        <w:gridCol w:w="1829"/>
        <w:gridCol w:w="987"/>
        <w:gridCol w:w="1494"/>
        <w:gridCol w:w="1316"/>
        <w:gridCol w:w="1594"/>
        <w:gridCol w:w="1659"/>
      </w:tblGrid>
      <w:tr>
        <w:trPr>
          <w:tblHeader w:val="true"/>
          <w:trHeight w:val="315" w:hRule="atLeast"/>
        </w:trPr>
        <w:tc>
          <w:tcPr>
            <w:tcW w:w="4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117" w:hanging="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182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Кадастровый номер земельного участка</w:t>
            </w:r>
          </w:p>
        </w:tc>
        <w:tc>
          <w:tcPr>
            <w:tcW w:w="98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Площадь участка, м</w:t>
            </w:r>
          </w:p>
        </w:tc>
        <w:tc>
          <w:tcPr>
            <w:tcW w:w="2810"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Категория земель</w:t>
            </w:r>
          </w:p>
        </w:tc>
        <w:tc>
          <w:tcPr>
            <w:tcW w:w="15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Цель изменения</w:t>
            </w:r>
          </w:p>
        </w:tc>
        <w:tc>
          <w:tcPr>
            <w:tcW w:w="165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Функциональная зона планируемая</w:t>
            </w:r>
          </w:p>
        </w:tc>
      </w:tr>
      <w:tr>
        <w:trPr>
          <w:tblHeader w:val="true"/>
          <w:trHeight w:val="611" w:hRule="atLeast"/>
        </w:trPr>
        <w:tc>
          <w:tcPr>
            <w:tcW w:w="475"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r>
          </w:p>
        </w:tc>
        <w:tc>
          <w:tcPr>
            <w:tcW w:w="18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r>
          </w:p>
        </w:tc>
        <w:tc>
          <w:tcPr>
            <w:tcW w:w="9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r>
          </w:p>
        </w:tc>
        <w:tc>
          <w:tcPr>
            <w:tcW w:w="1494" w:type="dxa"/>
            <w:tcBorders>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 xml:space="preserve">существующая </w:t>
            </w:r>
          </w:p>
        </w:tc>
        <w:tc>
          <w:tcPr>
            <w:tcW w:w="1316" w:type="dxa"/>
            <w:tcBorders>
              <w:bottom w:val="single" w:sz="4" w:space="0" w:color="000000"/>
              <w:right w:val="single" w:sz="4" w:space="0" w:color="000000"/>
            </w:tcBorders>
            <w:vAlign w:val="center"/>
          </w:tcPr>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планируемая</w:t>
            </w:r>
          </w:p>
        </w:tc>
        <w:tc>
          <w:tcPr>
            <w:tcW w:w="15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r>
          </w:p>
        </w:tc>
        <w:tc>
          <w:tcPr>
            <w:tcW w:w="16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567"/>
              <w:jc w:val="both"/>
              <w:rPr>
                <w:rFonts w:ascii="Times New Roman" w:hAnsi="Times New Roman"/>
                <w:sz w:val="20"/>
                <w:szCs w:val="20"/>
              </w:rPr>
            </w:pPr>
            <w:r>
              <w:rPr>
                <w:rFonts w:ascii="Times New Roman" w:hAnsi="Times New Roman"/>
                <w:sz w:val="20"/>
                <w:szCs w:val="20"/>
              </w:rPr>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22:69:010204:1</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2095</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22:69:010204:30</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1094</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22:69:010204:12</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1449</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22:69:010204:25</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1632</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22:69:010205:43</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1700</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22:69:010205:24</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1503</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22:69:010205:26</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888</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22:69:010208:33</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1352</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9</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22:69:010208:110</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1018</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22:69:010205:443</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596</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r>
        <w:trPr>
          <w:trHeight w:val="945" w:hRule="atLeast"/>
        </w:trPr>
        <w:tc>
          <w:tcPr>
            <w:tcW w:w="4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w:t>
            </w:r>
          </w:p>
        </w:tc>
        <w:tc>
          <w:tcPr>
            <w:tcW w:w="1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22:69:010205:444</w:t>
            </w:r>
          </w:p>
        </w:tc>
        <w:tc>
          <w:tcPr>
            <w:tcW w:w="987"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790</w:t>
            </w:r>
          </w:p>
        </w:tc>
        <w:tc>
          <w:tcPr>
            <w:tcW w:w="14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316"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населенных пунктов</w:t>
            </w:r>
          </w:p>
        </w:tc>
        <w:tc>
          <w:tcPr>
            <w:tcW w:w="159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Приведение правового режима использования ЗУ в соответствие с фактическим использованием</w:t>
            </w:r>
          </w:p>
        </w:tc>
        <w:tc>
          <w:tcPr>
            <w:tcW w:w="1659"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Зона индивидуальной жилой застройки</w:t>
            </w:r>
          </w:p>
        </w:tc>
      </w:tr>
    </w:tbl>
    <w:p>
      <w:pPr>
        <w:pStyle w:val="Normal"/>
        <w:ind w:firstLine="567"/>
        <w:jc w:val="both"/>
        <w:rPr>
          <w:rFonts w:ascii="Times New Roman" w:hAnsi="Times New Roman"/>
          <w:sz w:val="24"/>
          <w:szCs w:val="24"/>
        </w:rPr>
      </w:pPr>
      <w:r>
        <w:rPr>
          <w:rFonts w:ascii="Times New Roman" w:hAnsi="Times New Roman"/>
          <w:sz w:val="24"/>
          <w:szCs w:val="24"/>
        </w:rPr>
      </w:r>
    </w:p>
    <w:p>
      <w:pPr>
        <w:pStyle w:val="Normal"/>
        <w:ind w:firstLine="567"/>
        <w:jc w:val="both"/>
        <w:rPr>
          <w:rFonts w:ascii="Times New Roman" w:hAnsi="Times New Roman"/>
          <w:sz w:val="24"/>
          <w:szCs w:val="24"/>
        </w:rPr>
      </w:pPr>
      <w:r>
        <w:rPr>
          <w:rFonts w:ascii="Times New Roman" w:hAnsi="Times New Roman"/>
          <w:sz w:val="24"/>
          <w:szCs w:val="24"/>
        </w:rPr>
        <w:t>Генеральным планом утверждается граница населенного пункта город Новоалтайск, уточненная с учетом данных Единого государственного реестра недвижимости, а также рекомендуется внесение изменений в Закон Алтайского края от 27 декабря 2008 года №143-ЗС «О статусе и границах муниципального и административно-территориального образования город Новоалтайск Алтайского края» (с изменениями на 2 марта 2018 года) с целью уточнения границ городского округа город Новоалтайск Алтайского края и приведения ее в соответствие с откорректированной границей населенного пункта город Новоалтайск и данными ЕГРН.</w:t>
      </w:r>
    </w:p>
    <w:p>
      <w:pPr>
        <w:pStyle w:val="Normal"/>
        <w:ind w:firstLine="567"/>
        <w:jc w:val="both"/>
        <w:rPr>
          <w:rFonts w:ascii="Times New Roman" w:hAnsi="Times New Roman"/>
          <w:sz w:val="24"/>
          <w:szCs w:val="24"/>
        </w:rPr>
      </w:pPr>
      <w:r>
        <w:rPr>
          <w:rFonts w:ascii="Times New Roman" w:hAnsi="Times New Roman"/>
          <w:sz w:val="24"/>
          <w:szCs w:val="24"/>
        </w:rPr>
        <w:t>Наглядные изменения границ населенного пункта город Новоалтайск приведены на фрагментах картографических материалов на Рисунках 1-3.</w:t>
      </w:r>
    </w:p>
    <w:p>
      <w:pPr>
        <w:pStyle w:val="Normal"/>
        <w:ind w:firstLine="567"/>
        <w:jc w:val="both"/>
        <w:rPr>
          <w:rFonts w:ascii="Times New Roman" w:hAnsi="Times New Roman"/>
          <w:sz w:val="24"/>
          <w:szCs w:val="24"/>
        </w:rPr>
      </w:pPr>
      <w:r>
        <w:rPr>
          <w:rFonts w:ascii="Times New Roman" w:hAnsi="Times New Roman"/>
          <w:sz w:val="24"/>
          <w:szCs w:val="24"/>
        </w:rPr>
      </w:r>
    </w:p>
    <w:p>
      <w:pPr>
        <w:pStyle w:val="Normal"/>
        <w:ind w:firstLine="567"/>
        <w:jc w:val="both"/>
        <w:rPr>
          <w:rFonts w:ascii="Times New Roman" w:hAnsi="Times New Roman"/>
          <w:sz w:val="24"/>
          <w:szCs w:val="24"/>
        </w:rPr>
      </w:pPr>
      <w:r>
        <w:rPr>
          <w:rFonts w:ascii="Times New Roman" w:hAnsi="Times New Roman"/>
          <w:sz w:val="24"/>
          <w:szCs w:val="24"/>
        </w:rPr>
      </w:r>
    </w:p>
    <w:p>
      <w:pPr>
        <w:pStyle w:val="Normal"/>
        <w:ind w:firstLine="567"/>
        <w:jc w:val="both"/>
        <w:rPr>
          <w:rFonts w:ascii="Times New Roman" w:hAnsi="Times New Roman"/>
          <w:sz w:val="24"/>
          <w:szCs w:val="24"/>
        </w:rPr>
      </w:pPr>
      <w:r>
        <w:rPr>
          <w:rFonts w:ascii="Times New Roman" w:hAnsi="Times New Roman"/>
          <w:sz w:val="24"/>
          <w:szCs w:val="24"/>
        </w:rPr>
      </w:r>
    </w:p>
    <w:p>
      <w:pPr>
        <w:pStyle w:val="Normal"/>
        <w:ind w:firstLine="567"/>
        <w:jc w:val="center"/>
        <w:rPr>
          <w:rFonts w:ascii="Times New Roman" w:hAnsi="Times New Roman"/>
          <w:sz w:val="24"/>
          <w:szCs w:val="24"/>
        </w:rPr>
      </w:pPr>
      <w:r>
        <w:rPr/>
        <mc:AlternateContent>
          <mc:Choice Requires="wps">
            <w:drawing>
              <wp:inline distT="0" distB="0" distL="0" distR="0">
                <wp:extent cx="3429635" cy="2343785"/>
                <wp:effectExtent l="0" t="0" r="0" b="0"/>
                <wp:docPr id="5" name="Рисунок 5"/>
                <a:graphic xmlns:a="http://schemas.openxmlformats.org/drawingml/2006/main">
                  <a:graphicData uri="http://schemas.openxmlformats.org/drawingml/2006/picture">
                    <pic:pic xmlns:pic="http://schemas.openxmlformats.org/drawingml/2006/picture">
                      <pic:nvPicPr>
                        <pic:cNvPr id="1" name="Рисунок 5" descr=""/>
                        <pic:cNvPicPr/>
                      </pic:nvPicPr>
                      <pic:blipFill>
                        <a:blip r:embed="rId13"/>
                        <a:srcRect l="26300" t="27937" r="18653" b="4942"/>
                        <a:stretch/>
                      </pic:blipFill>
                      <pic:spPr>
                        <a:xfrm>
                          <a:off x="0" y="0"/>
                          <a:ext cx="3429000" cy="2343240"/>
                        </a:xfrm>
                        <a:prstGeom prst="rect">
                          <a:avLst/>
                        </a:prstGeom>
                        <a:ln w="0">
                          <a:noFill/>
                        </a:ln>
                      </pic:spPr>
                    </pic:pic>
                  </a:graphicData>
                </a:graphic>
              </wp:inline>
            </w:drawing>
          </mc:Choice>
          <mc:Fallback>
            <w:pict>
              <v:shape id="shape_0" ID="Рисунок 5" stroked="f" style="position:absolute;margin-left:0pt;margin-top:-184.55pt;width:269.95pt;height:184.45pt;mso-wrap-style:none;v-text-anchor:middle;mso-position-vertical:top" type="shapetype_75">
                <v:imagedata r:id="rId13" o:detectmouseclick="t"/>
                <v:stroke color="#3465a4" joinstyle="round" endcap="flat"/>
                <w10:wrap type="none"/>
              </v:shape>
            </w:pict>
          </mc:Fallback>
        </mc:AlternateContent>
      </w:r>
    </w:p>
    <w:p>
      <w:pPr>
        <w:pStyle w:val="Normal"/>
        <w:jc w:val="center"/>
        <w:rPr>
          <w:rFonts w:ascii="Times New Roman" w:hAnsi="Times New Roman"/>
          <w:i/>
          <w:i/>
          <w:iCs/>
          <w:sz w:val="24"/>
          <w:szCs w:val="24"/>
          <w:u w:val="single"/>
        </w:rPr>
      </w:pPr>
      <w:r>
        <w:rPr>
          <w:rFonts w:ascii="Times New Roman" w:hAnsi="Times New Roman"/>
          <w:i/>
          <w:iCs/>
          <w:sz w:val="24"/>
          <w:szCs w:val="24"/>
        </w:rPr>
        <w:t xml:space="preserve">Рис. 1 – </w:t>
      </w:r>
      <w:r>
        <w:rPr>
          <w:rFonts w:ascii="Times New Roman" w:hAnsi="Times New Roman"/>
          <w:i/>
          <w:iCs/>
          <w:sz w:val="24"/>
          <w:szCs w:val="24"/>
          <w:u w:val="single"/>
        </w:rPr>
        <w:t>Изменение границ населенного пункта город Новоалтайск</w:t>
      </w:r>
    </w:p>
    <w:p>
      <w:pPr>
        <w:pStyle w:val="Normal"/>
        <w:ind w:firstLine="567"/>
        <w:jc w:val="center"/>
        <w:rPr>
          <w:sz w:val="24"/>
          <w:szCs w:val="24"/>
        </w:rPr>
      </w:pPr>
      <w:r>
        <w:rPr/>
        <mc:AlternateContent>
          <mc:Choice Requires="wps">
            <w:drawing>
              <wp:inline distT="0" distB="0" distL="0" distR="0">
                <wp:extent cx="3524885" cy="2486660"/>
                <wp:effectExtent l="0" t="0" r="0" b="0"/>
                <wp:docPr id="6" name="Рисунок 1"/>
                <a:graphic xmlns:a="http://schemas.openxmlformats.org/drawingml/2006/main">
                  <a:graphicData uri="http://schemas.openxmlformats.org/drawingml/2006/picture">
                    <pic:pic xmlns:pic="http://schemas.openxmlformats.org/drawingml/2006/picture">
                      <pic:nvPicPr>
                        <pic:cNvPr id="2" name="Рисунок 1" descr=""/>
                        <pic:cNvPicPr/>
                      </pic:nvPicPr>
                      <pic:blipFill>
                        <a:blip r:embed="rId14"/>
                        <a:srcRect l="32712" t="22808" r="15766" b="13530"/>
                        <a:stretch/>
                      </pic:blipFill>
                      <pic:spPr>
                        <a:xfrm>
                          <a:off x="0" y="0"/>
                          <a:ext cx="3524400" cy="2486160"/>
                        </a:xfrm>
                        <a:prstGeom prst="rect">
                          <a:avLst/>
                        </a:prstGeom>
                        <a:ln w="0">
                          <a:noFill/>
                        </a:ln>
                      </pic:spPr>
                    </pic:pic>
                  </a:graphicData>
                </a:graphic>
              </wp:inline>
            </w:drawing>
          </mc:Choice>
          <mc:Fallback>
            <w:pict>
              <v:shape id="shape_0" ID="Рисунок 1" stroked="f" style="position:absolute;margin-left:0pt;margin-top:-195.8pt;width:277.45pt;height:195.7pt;mso-wrap-style:none;v-text-anchor:middle;mso-position-vertical:top" type="shapetype_75">
                <v:imagedata r:id="rId14" o:detectmouseclick="t"/>
                <v:stroke color="#3465a4" joinstyle="round" endcap="flat"/>
                <w10:wrap type="none"/>
              </v:shape>
            </w:pict>
          </mc:Fallback>
        </mc:AlternateContent>
      </w:r>
    </w:p>
    <w:p>
      <w:pPr>
        <w:pStyle w:val="Normal"/>
        <w:jc w:val="center"/>
        <w:rPr>
          <w:rFonts w:ascii="Times New Roman" w:hAnsi="Times New Roman"/>
          <w:i/>
          <w:i/>
          <w:iCs/>
          <w:sz w:val="24"/>
          <w:szCs w:val="24"/>
          <w:u w:val="single"/>
        </w:rPr>
      </w:pPr>
      <w:r>
        <w:rPr>
          <w:rFonts w:ascii="Times New Roman" w:hAnsi="Times New Roman"/>
          <w:i/>
          <w:iCs/>
          <w:sz w:val="24"/>
          <w:szCs w:val="24"/>
        </w:rPr>
        <w:t xml:space="preserve">Рис. 2– </w:t>
      </w:r>
      <w:r>
        <w:rPr>
          <w:rFonts w:ascii="Times New Roman" w:hAnsi="Times New Roman"/>
          <w:i/>
          <w:iCs/>
          <w:sz w:val="24"/>
          <w:szCs w:val="24"/>
          <w:u w:val="single"/>
        </w:rPr>
        <w:t>Изменение границ населенного пункта город Новоалтайск</w:t>
      </w:r>
    </w:p>
    <w:p>
      <w:pPr>
        <w:pStyle w:val="Normal"/>
        <w:ind w:firstLine="567"/>
        <w:jc w:val="center"/>
        <w:rPr>
          <w:rFonts w:ascii="Times New Roman" w:hAnsi="Times New Roman"/>
          <w:sz w:val="24"/>
          <w:szCs w:val="24"/>
        </w:rPr>
      </w:pPr>
      <w:r>
        <w:rPr/>
        <mc:AlternateContent>
          <mc:Choice Requires="wps">
            <w:drawing>
              <wp:inline distT="0" distB="0" distL="0" distR="0">
                <wp:extent cx="3629660" cy="2410460"/>
                <wp:effectExtent l="0" t="0" r="0" b="0"/>
                <wp:docPr id="7" name="Рисунок 6"/>
                <a:graphic xmlns:a="http://schemas.openxmlformats.org/drawingml/2006/main">
                  <a:graphicData uri="http://schemas.openxmlformats.org/drawingml/2006/picture">
                    <pic:pic xmlns:pic="http://schemas.openxmlformats.org/drawingml/2006/picture">
                      <pic:nvPicPr>
                        <pic:cNvPr id="3" name="Рисунок 6" descr=""/>
                        <pic:cNvPicPr/>
                      </pic:nvPicPr>
                      <pic:blipFill>
                        <a:blip r:embed="rId15"/>
                        <a:srcRect l="31645" t="22234" r="14272" b="15058"/>
                        <a:stretch/>
                      </pic:blipFill>
                      <pic:spPr>
                        <a:xfrm>
                          <a:off x="0" y="0"/>
                          <a:ext cx="3629160" cy="2409840"/>
                        </a:xfrm>
                        <a:prstGeom prst="rect">
                          <a:avLst/>
                        </a:prstGeom>
                        <a:ln w="0">
                          <a:noFill/>
                        </a:ln>
                      </pic:spPr>
                    </pic:pic>
                  </a:graphicData>
                </a:graphic>
              </wp:inline>
            </w:drawing>
          </mc:Choice>
          <mc:Fallback>
            <w:pict>
              <v:shape id="shape_0" ID="Рисунок 6" stroked="f" style="position:absolute;margin-left:0pt;margin-top:-189.8pt;width:285.7pt;height:189.7pt;mso-wrap-style:none;v-text-anchor:middle;mso-position-vertical:top" type="shapetype_75">
                <v:imagedata r:id="rId15" o:detectmouseclick="t"/>
                <v:stroke color="#3465a4" joinstyle="round" endcap="flat"/>
                <w10:wrap type="none"/>
              </v:shape>
            </w:pict>
          </mc:Fallback>
        </mc:AlternateContent>
      </w:r>
    </w:p>
    <w:p>
      <w:pPr>
        <w:pStyle w:val="Normal"/>
        <w:ind w:firstLine="567"/>
        <w:jc w:val="center"/>
        <w:rPr>
          <w:rFonts w:ascii="Times New Roman" w:hAnsi="Times New Roman"/>
          <w:i/>
          <w:i/>
          <w:iCs/>
          <w:sz w:val="24"/>
          <w:szCs w:val="24"/>
        </w:rPr>
      </w:pPr>
      <w:r>
        <w:rPr>
          <w:rFonts w:ascii="Times New Roman" w:hAnsi="Times New Roman"/>
          <w:i/>
          <w:iCs/>
          <w:sz w:val="24"/>
          <w:szCs w:val="24"/>
        </w:rPr>
        <w:t>Рис. 3 – Изменение границ населенного пункта город Новоалтайск</w:t>
      </w:r>
    </w:p>
    <w:p>
      <w:pPr>
        <w:pStyle w:val="Normal"/>
        <w:ind w:firstLine="567"/>
        <w:jc w:val="both"/>
        <w:rPr>
          <w:rFonts w:ascii="Times New Roman" w:hAnsi="Times New Roman"/>
          <w:sz w:val="24"/>
          <w:szCs w:val="24"/>
        </w:rPr>
      </w:pPr>
      <w:r>
        <w:rPr>
          <w:rFonts w:ascii="Times New Roman" w:hAnsi="Times New Roman"/>
          <w:sz w:val="24"/>
          <w:szCs w:val="24"/>
        </w:rPr>
        <w:t>На картографических материалах Генерального плана планируемые границы населенного пункта нанесены условно, с погрешностью, для дальнейшего уточнения.</w:t>
      </w:r>
    </w:p>
    <w:p>
      <w:pPr>
        <w:pStyle w:val="1"/>
        <w:numPr>
          <w:ilvl w:val="0"/>
          <w:numId w:val="0"/>
        </w:numPr>
        <w:ind w:left="0" w:firstLine="567"/>
        <w:jc w:val="both"/>
        <w:rPr>
          <w:sz w:val="24"/>
          <w:szCs w:val="24"/>
        </w:rPr>
      </w:pPr>
      <w:bookmarkStart w:id="80" w:name="_Toc142575272"/>
      <w:bookmarkStart w:id="81" w:name="_Toc135662190"/>
      <w:r>
        <w:rPr>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0"/>
      <w:bookmarkEnd w:id="81"/>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 xml:space="preserve">Исторические поселения федерального значения и исторические поселения регионального значения на территории </w:t>
      </w:r>
      <w:r>
        <w:rPr>
          <w:rFonts w:ascii="Times New Roman" w:hAnsi="Times New Roman"/>
          <w:sz w:val="24"/>
          <w:szCs w:val="24"/>
        </w:rPr>
        <w:t xml:space="preserve">городской округ город Новоалтайск Алтайского края </w:t>
      </w:r>
      <w:r>
        <w:rPr>
          <w:rFonts w:ascii="Times New Roman" w:hAnsi="Times New Roman"/>
          <w:color w:val="000000"/>
          <w:sz w:val="24"/>
          <w:szCs w:val="24"/>
        </w:rPr>
        <w:t>отсутствуют.</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На территории городского округа город Новоалтайск Алтайского края находятся памятники археологии и истории. Для этих объектов культурного наследия устанавливаются охранные зоны, согласно Заключения НПЦ «Наследие» и Приложения №15 «Об общем режиме охраны и использовании территории, и охранных зонах археологических памятников истории и культуры (объектов культурного наследия), расположенных на территории городского округа город Новоалтайск Алтайского края». Перечень объектов культурного наследия городского округа город Новоалтайск представлен в Таблице 15</w:t>
      </w:r>
    </w:p>
    <w:p>
      <w:pPr>
        <w:pStyle w:val="Style52"/>
        <w:numPr>
          <w:ilvl w:val="0"/>
          <w:numId w:val="4"/>
        </w:numPr>
        <w:spacing w:lineRule="auto" w:line="240"/>
        <w:ind w:left="2342" w:hanging="357"/>
        <w:rPr>
          <w:sz w:val="24"/>
          <w:szCs w:val="24"/>
        </w:rPr>
      </w:pPr>
      <w:r>
        <w:rPr/>
        <w:t>Перечень объектов культурного наследия города Новоалтайска</w:t>
      </w:r>
    </w:p>
    <w:tbl>
      <w:tblPr>
        <w:tblW w:w="5000" w:type="pct"/>
        <w:jc w:val="left"/>
        <w:tblInd w:w="0" w:type="dxa"/>
        <w:tblLayout w:type="fixed"/>
        <w:tblCellMar>
          <w:top w:w="0" w:type="dxa"/>
          <w:left w:w="108" w:type="dxa"/>
          <w:bottom w:w="0" w:type="dxa"/>
          <w:right w:w="108" w:type="dxa"/>
        </w:tblCellMar>
        <w:tblLook w:val="0000"/>
      </w:tblPr>
      <w:tblGrid>
        <w:gridCol w:w="408"/>
        <w:gridCol w:w="1410"/>
        <w:gridCol w:w="1525"/>
        <w:gridCol w:w="2266"/>
        <w:gridCol w:w="630"/>
        <w:gridCol w:w="1379"/>
        <w:gridCol w:w="1736"/>
      </w:tblGrid>
      <w:tr>
        <w:trPr>
          <w:tblHeader w:val="true"/>
          <w:trHeight w:val="480" w:hRule="atLeast"/>
        </w:trPr>
        <w:tc>
          <w:tcPr>
            <w:tcW w:w="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п</w:t>
            </w:r>
            <w:r>
              <w:rPr>
                <w:rFonts w:ascii="Times New Roman" w:hAnsi="Times New Roman"/>
                <w:sz w:val="20"/>
                <w:szCs w:val="20"/>
                <w:lang w:val="en-US"/>
              </w:rPr>
              <w:t>/</w:t>
            </w:r>
            <w:r>
              <w:rPr>
                <w:rFonts w:ascii="Times New Roman" w:hAnsi="Times New Roman"/>
                <w:sz w:val="20"/>
                <w:szCs w:val="20"/>
              </w:rPr>
              <w:t>п</w:t>
            </w:r>
          </w:p>
        </w:tc>
        <w:tc>
          <w:tcPr>
            <w:tcW w:w="1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Название памятника</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Дата</w:t>
            </w:r>
          </w:p>
        </w:tc>
        <w:tc>
          <w:tcPr>
            <w:tcW w:w="22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Автор открытия</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Дата</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Местоположение памятника</w:t>
            </w:r>
          </w:p>
        </w:tc>
        <w:tc>
          <w:tcPr>
            <w:tcW w:w="17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Документ о постановке на гос. охрану</w:t>
            </w:r>
          </w:p>
        </w:tc>
      </w:tr>
      <w:tr>
        <w:trPr>
          <w:trHeight w:val="219" w:hRule="atLeast"/>
        </w:trPr>
        <w:tc>
          <w:tcPr>
            <w:tcW w:w="935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Памятники археологии города Новоалтайска</w:t>
            </w:r>
          </w:p>
        </w:tc>
      </w:tr>
      <w:tr>
        <w:trPr>
          <w:trHeight w:val="48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Новоалтайск 3 (Новоалтайский могильник)</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эпоха раннего железа</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Могильников В.А., Бородаев В.Б.</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1975</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территории очистных сооружений г. Новоалтайска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Решение крайисполкома № 225 от 21.05.1991 г.</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Новоалтайск 4 (Развилка, грунтовый могильник; Новоалтайск-Развилка, грунтовый могильник; Развилка 1, поселение).</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эпоха бронзы</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Могильников В.А., Бородаев В.Б.</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1976</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правом берегу р. Обь у ст. Развилка, в 0,5 км южнее ж/д</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Решение крайисполкома № 225 от 21.05.1991 г.</w:t>
            </w:r>
          </w:p>
        </w:tc>
      </w:tr>
      <w:tr>
        <w:trPr>
          <w:trHeight w:val="72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Новоалтайск 5 (Чесноковка – улица Ленина, грунтовый могильник).</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эпоха бронзы</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Могильников В.А., Бородаев В.Б.</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территории г. Новоалтайска, ул. Ленина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Решение крайисполкома № 225 от 21.05.1991 г.</w:t>
            </w:r>
          </w:p>
        </w:tc>
      </w:tr>
      <w:tr>
        <w:trPr>
          <w:trHeight w:val="48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Велижановка 1, поселение.</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эпоха раннего железа</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Кунгуров А.Л.</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1983</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останце коренного берега  в 200 м к Ю от Велижановского мыса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Вновь выявлен</w:t>
            </w:r>
          </w:p>
        </w:tc>
      </w:tr>
      <w:tr>
        <w:trPr>
          <w:trHeight w:val="24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Развилка 2, поселение.</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эпоха бронзы</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Кунгуров А.Л.</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1978</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0,5 км к Ю от ст. Развилка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вновь выявлен</w:t>
            </w:r>
          </w:p>
        </w:tc>
      </w:tr>
      <w:tr>
        <w:trPr>
          <w:trHeight w:val="480" w:hRule="atLeast"/>
        </w:trPr>
        <w:tc>
          <w:tcPr>
            <w:tcW w:w="935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Памятники истории города Новоалтайска</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Могила начальника продразверстки, организатора коммуны «Ясная поляна» П.У. Драничникова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1920</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В.Ф. Стволов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1967 г.</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п. Белоярск, центр, северо-восточнее здания по ул. Советов, 1</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Решением исполнительного комитета Алтайского краевого совета народных депутатов № 962 от 20.12.1949 г.</w:t>
            </w:r>
          </w:p>
        </w:tc>
      </w:tr>
      <w:tr>
        <w:trPr>
          <w:trHeight w:val="120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земляку-пограничнику Перфишину Я.В. (погиб в августе 1945г.)</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1970</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здании школы № 12 в р.п. Белоярске по ул. Белоярская, 164</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Братская могила партизан, погибших за власть Советов</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1920</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В.Ф. Стволов и И.Ф. Ласковый</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1957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в сквере "Октяборьский" на привокзальной площади, западнее здания по ул. Октябрьская 20а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Решенияме исполнительного комитета Алтайского краевого совета народных депутатов № 962 от 20.12.1949 г.</w:t>
            </w:r>
          </w:p>
        </w:tc>
      </w:tr>
      <w:tr>
        <w:trPr>
          <w:trHeight w:val="120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9</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Могила участника ВОв Героя Советского Союза Григорьева И.И. (с обелиском)</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Ю.П. Толкачев, Т.И. Шахов, М.А. Кубик</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1960</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в сквере у городского Центра культуры (ДК «Алтайвагон»).</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trPr>
          <w:trHeight w:val="120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Могила участника ВОв Героя Советского Союза Чернова Г.Н.  (с обелиском);</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В.Ф. Стволов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1967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Велижанова, сквер у школы № 3, на пересечении ул. Комсомольская- ул. Майская- ул. Чернова.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АКЗС № 169 от 28.12.94; Постановление Алтайского краевого Совета народных депутатов от 02.04.2001 N 94 (ред. от 03.10.2006)</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Стела «Воинам-новоалтайцам, погибшим в годы Великой Отечественной войны (1941-1945 гг.)</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А.Ф.Стволов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1976</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центральная площадь ул. Парковая 1а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Алтайского краевого Совета народных депутатов от 02.04.2001 N 94 (ред. от 03.10.2006)</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Памятный знак, посвященный борцам за власть Советов, расстрелянным колчаковцами</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1918</w:t>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1957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ст. Присягина, 3</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Решенияме исполнительного комитета Алтайского краевого совета народных депутатов № 420 от 12.09.91</w:t>
            </w:r>
          </w:p>
        </w:tc>
      </w:tr>
      <w:tr>
        <w:trPr>
          <w:trHeight w:val="168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Памятник воинам -   новоалтайцам, погибшим в годы   Великой Отечественной войны (1941 -1945 гг.) (Стела «Воинам-новоалтайцам, погибшим в годы Великой Отечественной войны (1941-1945 гг.)</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Художники В.Ф. Стволов и И.Ф. Ласковый, архитектор В.А. Харинов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1967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центральная площадь ул. Парковая 1а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Алтайского краевого Совета народных депутатов от 02.04.2001 N 94 (ред. от 03.10.2006)</w:t>
            </w:r>
          </w:p>
        </w:tc>
      </w:tr>
      <w:tr>
        <w:trPr>
          <w:trHeight w:val="147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воину-земляку А.Е. Землянову</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1995</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стене жилого дома № 7 по ул. им. XXII партсъезда, здание музея</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Алтайского краевого Совета народных депутатов от 02.04.2001 N 94 (ред. от 03.10.2006)</w:t>
            </w:r>
          </w:p>
        </w:tc>
      </w:tr>
      <w:tr>
        <w:trPr>
          <w:trHeight w:val="123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Стела на бульваре имени Героя Советского Союза ЗЕМЛЯНОВА Андрея Егоровича</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В.Ф. Стволов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1998</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в 8-м микрорайоне рядом со зданием школы искусств (ДШИ-2, ул. Гагарина, 5).</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245"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Памятник В.И. Ленину</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1958</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ул. им. XXII партсъезда Д. 16 западнее здания - около заводоуправления Алтайского вагоностроительного завода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335"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Памятная стела (у магазина «Юбилейный»), с замурованным в ней посланием потомкам.</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В.Ф. Стволов</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1967</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у дома № 13 по ул. Октябрьской (рядом с магазином «Юбилейный»)</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32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18</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воину-интернационалисту ПИКУЛЕВУ Михаилу.</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здании школы № 8 (ул. Октябрьская, 7).</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20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воину-интернационалисту БАСАРАБУ Виталию</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здании школы № 19 (ул. Прудская, 8).</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44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погибшему в Чеченской республике ВЫЖИМОВУ Вадиму Вячеславовичу, выпускнику школы №17 пос. Новогорского.</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здании школы № 17 (пос. Новогорский) ул. Энгельса, 1.</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120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Мемориальная доска погибшему в Чеченской республике ДОЛМАТОВУ Алексею Ивановичу, начальнику НГОВД.</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2002</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здании Новоалтайского ОВД (ул.Октябрьская, 26).</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Постановление Новоалтайского городского собрания депутатов от 14 августа 2001; Постановление администрации г. Новоалтайска № 2555 от 15 августа 2001 г.</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Памятный знак японским военнопленным</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на территории больничного городка Новоалтайской центральной городской больницы, по ул. Ударника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Поставлен на технический учет Новоалтайским отделом филиала ФГУП «Ростехинвентаризация» по Алтайскому краю</w:t>
            </w:r>
          </w:p>
        </w:tc>
      </w:tr>
      <w:tr>
        <w:trPr>
          <w:trHeight w:val="960" w:hRule="atLeast"/>
        </w:trPr>
        <w:tc>
          <w:tcPr>
            <w:tcW w:w="4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23</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Памятник памяти героям Советского Союза - Григорьеву И.И., Землянову А.Е., Чернову Г.Н.</w:t>
            </w:r>
          </w:p>
        </w:tc>
        <w:tc>
          <w:tcPr>
            <w:tcW w:w="15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 Хайрулинов, В. Харченко</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2006</w:t>
            </w:r>
          </w:p>
        </w:tc>
        <w:tc>
          <w:tcPr>
            <w:tcW w:w="13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 Новоалтайск, парк им. И. Григорьева</w:t>
            </w:r>
          </w:p>
        </w:tc>
        <w:tc>
          <w:tcPr>
            <w:tcW w:w="17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разработана комитетом по архитектуре города</w:t>
            </w:r>
          </w:p>
        </w:tc>
      </w:tr>
    </w:tbl>
    <w:p>
      <w:pPr>
        <w:pStyle w:val="Style52"/>
        <w:numPr>
          <w:ilvl w:val="0"/>
          <w:numId w:val="0"/>
        </w:numPr>
        <w:ind w:left="360" w:hanging="0"/>
        <w:jc w:val="center"/>
        <w:rPr>
          <w:sz w:val="24"/>
          <w:szCs w:val="24"/>
        </w:rPr>
      </w:pPr>
      <w:r>
        <w:rPr/>
      </w:r>
    </w:p>
    <w:p>
      <w:pPr>
        <w:pStyle w:val="Normal"/>
        <w:spacing w:lineRule="auto" w:line="240" w:before="0" w:after="0"/>
        <w:ind w:firstLine="567"/>
        <w:rPr>
          <w:rFonts w:ascii="Times New Roman" w:hAnsi="Times New Roman"/>
          <w:b/>
          <w:b/>
          <w:bCs/>
          <w:sz w:val="24"/>
          <w:szCs w:val="24"/>
        </w:rPr>
      </w:pPr>
      <w:bookmarkStart w:id="82" w:name="_Toc135662191"/>
      <w:r>
        <w:rPr>
          <w:rFonts w:ascii="Times New Roman" w:hAnsi="Times New Roman"/>
          <w:b/>
          <w:bCs/>
          <w:sz w:val="24"/>
          <w:szCs w:val="24"/>
        </w:rPr>
        <w:t>Мероприятия по сохранению объектов культурного наследия</w:t>
      </w:r>
      <w:bookmarkEnd w:id="82"/>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В целях сохранения памятников необходима разработка отдельного «Проекта зон охраны объекта культурного наследия», на основании которого устанавливаются на сопряженных территориях зоны охраны: охранная зона, зона охраняемого природного ландшафта, зона регулирования застройки и хозяйственной деятельности. Необходимый состав зон определяется проектом.</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На территориях объектов культурного наследия определяются мероприятия, направленные на обеспечение сохранности данных объектов:</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1. Проектирование и проведение земляных, строительных, мелиоративных, хозяйственных работ, указанных в статье 30 Федерального закона от 24.05.2002 № 73-ФЗ </w:t>
      </w:r>
      <w:r>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Pr>
          <w:rFonts w:ascii="Times New Roman" w:hAnsi="Times New Roman"/>
          <w:sz w:val="24"/>
          <w:szCs w:val="24"/>
        </w:rPr>
        <w:t xml:space="preserve"> работ по использованию лесов</w:t>
      </w:r>
      <w:r>
        <w:rPr>
          <w:rFonts w:ascii="Times New Roman" w:hAnsi="Times New Roman"/>
          <w:color w:val="000000"/>
          <w:sz w:val="24"/>
          <w:szCs w:val="24"/>
        </w:rPr>
        <w:t>,</w:t>
      </w:r>
      <w:r>
        <w:rPr>
          <w:rFonts w:ascii="Times New Roman" w:hAnsi="Times New Roman"/>
          <w:sz w:val="24"/>
          <w:szCs w:val="24"/>
        </w:rPr>
        <w:t xml:space="preserve">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6">
        <w:r>
          <w:rPr>
            <w:rFonts w:ascii="Times New Roman" w:hAnsi="Times New Roman"/>
            <w:sz w:val="24"/>
            <w:szCs w:val="24"/>
          </w:rPr>
          <w:t>пунктах 3</w:t>
        </w:r>
      </w:hyperlink>
      <w:r>
        <w:rPr>
          <w:rFonts w:ascii="Times New Roman" w:hAnsi="Times New Roman"/>
          <w:sz w:val="24"/>
          <w:szCs w:val="24"/>
        </w:rPr>
        <w:t xml:space="preserve">, </w:t>
      </w:r>
      <w:hyperlink r:id="rId17">
        <w:r>
          <w:rPr>
            <w:rFonts w:ascii="Times New Roman" w:hAnsi="Times New Roman"/>
            <w:sz w:val="24"/>
            <w:szCs w:val="24"/>
          </w:rPr>
          <w:t>4</w:t>
        </w:r>
      </w:hyperlink>
      <w:r>
        <w:rPr>
          <w:rFonts w:ascii="Times New Roman" w:hAnsi="Times New Roman"/>
          <w:sz w:val="24"/>
          <w:szCs w:val="24"/>
        </w:rPr>
        <w:t xml:space="preserve"> и </w:t>
      </w:r>
      <w:hyperlink r:id="rId18">
        <w:r>
          <w:rPr>
            <w:rFonts w:ascii="Times New Roman" w:hAnsi="Times New Roman"/>
            <w:sz w:val="24"/>
            <w:szCs w:val="24"/>
          </w:rPr>
          <w:t>7 части 1 статьи 25</w:t>
        </w:r>
      </w:hyperlink>
      <w:r>
        <w:rPr>
          <w:rFonts w:ascii="Times New Roman" w:hAnsi="Times New Roman"/>
          <w:sz w:val="24"/>
          <w:szCs w:val="24"/>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24.05.2002 № 73-ФЗ </w:t>
      </w:r>
      <w:r>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Pr>
          <w:rFonts w:ascii="Times New Roman" w:hAnsi="Times New Roman"/>
          <w:sz w:val="24"/>
          <w:szCs w:val="24"/>
        </w:rPr>
        <w:t>.</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3.1. На территории объекта культурного наследия запрещается: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проведение земляных, строительных, мелиоративных и иных работ, за исключением работ, разрешенных статьей 5.1 Федерального закона от 24.05.2002 № 73-ФЗ </w:t>
      </w:r>
      <w:r>
        <w:rPr>
          <w:rFonts w:ascii="Times New Roman" w:hAnsi="Times New Roman"/>
          <w:color w:val="000000"/>
          <w:sz w:val="24"/>
          <w:szCs w:val="24"/>
        </w:rPr>
        <w:t>«Об объектах культурного наследия (памятниках истории и культуры) народов Российской Федерации»</w:t>
      </w:r>
      <w:r>
        <w:rPr>
          <w:rFonts w:ascii="Times New Roman" w:hAnsi="Times New Roman"/>
          <w:sz w:val="24"/>
          <w:szCs w:val="24"/>
        </w:rPr>
        <w:t>;</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3.2. На территории объекта культурного наследия разрешается: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3.3. Проведение строительных и иных работ на земельном участке в границах территории, а также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согласованных с региональным органом охраны объектов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3.4.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83" w:name="Par824"/>
      <w:bookmarkEnd w:id="83"/>
      <w:r>
        <w:rPr>
          <w:rFonts w:ascii="Times New Roman" w:hAnsi="Times New Roman"/>
          <w:sz w:val="24"/>
          <w:szCs w:val="24"/>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4.1. Работы по сохранению объекта культурного наследия проводятся: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Режимы использования земель и требования к градостроительным регламентам в границах территорий зон охраны объекта культурного наследия утверждаются нормативными правовыми актами Алтайского края.</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widowControl w:val="false"/>
        <w:shd w:val="clear" w:color="auto" w:fill="FFFFFF"/>
        <w:spacing w:lineRule="auto" w:line="240" w:before="0" w:after="0"/>
        <w:ind w:firstLine="709"/>
        <w:jc w:val="both"/>
        <w:rPr>
          <w:rFonts w:ascii="Times New Roman" w:hAnsi="Times New Roman"/>
          <w:sz w:val="24"/>
          <w:szCs w:val="24"/>
        </w:rPr>
      </w:pPr>
      <w:r>
        <w:rPr>
          <w:rFonts w:ascii="Times New Roman" w:hAnsi="Times New Roman"/>
          <w:sz w:val="24"/>
          <w:szCs w:val="24"/>
        </w:rPr>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br w:type="page"/>
      </w:r>
    </w:p>
    <w:p>
      <w:pPr>
        <w:pStyle w:val="Style51"/>
        <w:spacing w:before="0" w:after="0"/>
        <w:ind w:hanging="0"/>
        <w:rPr>
          <w:sz w:val="24"/>
          <w:szCs w:val="24"/>
        </w:rPr>
      </w:pPr>
      <w:r>
        <w:rPr/>
      </w:r>
    </w:p>
    <w:p>
      <w:pPr>
        <w:pStyle w:val="1"/>
        <w:numPr>
          <w:ilvl w:val="0"/>
          <w:numId w:val="0"/>
        </w:numPr>
        <w:ind w:left="0" w:firstLine="709"/>
        <w:jc w:val="both"/>
        <w:rPr>
          <w:sz w:val="24"/>
          <w:szCs w:val="24"/>
        </w:rPr>
      </w:pPr>
      <w:bookmarkStart w:id="84" w:name="_Toc142575273"/>
      <w:bookmarkStart w:id="85" w:name="_Toc135662182"/>
      <w:r>
        <w:rPr>
          <w:sz w:val="24"/>
          <w:szCs w:val="24"/>
        </w:rPr>
        <w:t>9. Основные технико-экономический показатели генерального плана городского округа город Новоалтайск Алтайского края</w:t>
      </w:r>
      <w:bookmarkEnd w:id="84"/>
      <w:bookmarkEnd w:id="85"/>
    </w:p>
    <w:p>
      <w:pPr>
        <w:pStyle w:val="Normal"/>
        <w:ind w:firstLine="567"/>
        <w:jc w:val="both"/>
        <w:rPr>
          <w:rFonts w:ascii="Times New Roman" w:hAnsi="Times New Roman"/>
          <w:sz w:val="24"/>
          <w:szCs w:val="24"/>
        </w:rPr>
      </w:pPr>
      <w:r>
        <w:rPr>
          <w:rFonts w:ascii="Times New Roman" w:hAnsi="Times New Roman"/>
          <w:sz w:val="24"/>
          <w:szCs w:val="24"/>
        </w:rPr>
        <w:t>Основные параметры экономического и социального развития городского округа город Новоалтайск Алтайского края</w:t>
      </w:r>
    </w:p>
    <w:tbl>
      <w:tblPr>
        <w:tblW w:w="5000" w:type="pct"/>
        <w:jc w:val="center"/>
        <w:tblInd w:w="0" w:type="dxa"/>
        <w:tblLayout w:type="fixed"/>
        <w:tblCellMar>
          <w:top w:w="0" w:type="dxa"/>
          <w:left w:w="108" w:type="dxa"/>
          <w:bottom w:w="0" w:type="dxa"/>
          <w:right w:w="108" w:type="dxa"/>
        </w:tblCellMar>
        <w:tblLook w:val="01e0"/>
      </w:tblPr>
      <w:tblGrid>
        <w:gridCol w:w="630"/>
        <w:gridCol w:w="3195"/>
        <w:gridCol w:w="1361"/>
        <w:gridCol w:w="1338"/>
        <w:gridCol w:w="1453"/>
        <w:gridCol w:w="1377"/>
      </w:tblGrid>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п/п</w:t>
            </w:r>
          </w:p>
        </w:tc>
        <w:tc>
          <w:tcPr>
            <w:tcW w:w="31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Наименование показателей</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Единица измерения</w:t>
            </w:r>
          </w:p>
        </w:tc>
        <w:tc>
          <w:tcPr>
            <w:tcW w:w="279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Период</w:t>
            </w:r>
          </w:p>
        </w:tc>
        <w:tc>
          <w:tcPr>
            <w:tcW w:w="1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Срок</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31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r>
          </w:p>
        </w:tc>
        <w:tc>
          <w:tcPr>
            <w:tcW w:w="13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исходный</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2007 год</w:t>
            </w:r>
          </w:p>
        </w:tc>
        <w:tc>
          <w:tcPr>
            <w:tcW w:w="14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текущий</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2021 год</w:t>
            </w:r>
          </w:p>
        </w:tc>
        <w:tc>
          <w:tcPr>
            <w:tcW w:w="1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расчетный</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2027 год</w:t>
            </w:r>
          </w:p>
        </w:tc>
      </w:tr>
      <w:tr>
        <w:trPr>
          <w:trHeight w:val="145"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0"/>
                <w:szCs w:val="20"/>
              </w:rPr>
            </w:pPr>
            <w:r>
              <w:rPr>
                <w:rFonts w:ascii="Times New Roman" w:hAnsi="Times New Roman"/>
                <w:b/>
                <w:bCs/>
                <w:sz w:val="20"/>
                <w:szCs w:val="20"/>
              </w:rPr>
              <w:t>Население</w:t>
            </w:r>
          </w:p>
        </w:tc>
      </w:tr>
      <w:tr>
        <w:trPr>
          <w:trHeight w:val="145"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населения</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человек</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73 900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74 556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100 000</w:t>
            </w:r>
          </w:p>
        </w:tc>
      </w:tr>
      <w:tr>
        <w:trPr>
          <w:trHeight w:val="193"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872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Возрастная структура населения:</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дети 0 – 15 лет</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12,5/17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12,6/16,9</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26,0/26</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трудоспособный возраст</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16 – 54 (59) лет</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47,2/64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47,5/63,8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60,0/56</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 население старше </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трудоспособного возраста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14,0/18,6</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14,1/18,9</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18,0/18</w:t>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872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Трудовая структура населения:</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градообразующая группа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29,5/40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40.0/40</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обслуживающая группа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10,3/14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14.0/14</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несамодеятельное население</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34,0/46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46.0/46</w:t>
            </w:r>
          </w:p>
        </w:tc>
      </w:tr>
      <w:tr>
        <w:trPr>
          <w:trHeight w:val="145"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0"/>
                <w:szCs w:val="20"/>
              </w:rPr>
            </w:pPr>
            <w:r>
              <w:rPr>
                <w:rFonts w:ascii="Times New Roman" w:hAnsi="Times New Roman"/>
                <w:b/>
                <w:bCs/>
                <w:sz w:val="20"/>
                <w:szCs w:val="20"/>
              </w:rPr>
              <w:t>Объекты градообразующего значения</w:t>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Промышленные предприятия</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единиц</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трудящихся - всего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 /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10,0/100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14,0/100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Высшие и средние специальные учебные заведения</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единиц</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педагогического и обслуживающего персонала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0,3</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0,3</w:t>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Количество училищ</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единиц </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педагогического и обслуживающего персонала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0,1</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0,1</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0,1</w:t>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w:t>
            </w:r>
          </w:p>
        </w:tc>
        <w:tc>
          <w:tcPr>
            <w:tcW w:w="872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Административные организации внегородского значения</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кадров</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0,4</w:t>
            </w:r>
          </w:p>
        </w:tc>
      </w:tr>
      <w:tr>
        <w:trPr>
          <w:trHeight w:val="145"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w:t>
            </w:r>
          </w:p>
        </w:tc>
        <w:tc>
          <w:tcPr>
            <w:tcW w:w="872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Строительно-монтажные организации</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кадров</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w:t>
            </w:r>
          </w:p>
        </w:tc>
      </w:tr>
      <w:tr>
        <w:trPr>
          <w:trHeight w:val="550"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Численность кадров занятых во внешнем транспорте - всего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9,7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9,7</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том числе:</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железнодорожный транспорт</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8,0</w:t>
            </w:r>
          </w:p>
        </w:tc>
      </w:tr>
      <w:tr>
        <w:trPr>
          <w:trHeight w:val="145" w:hRule="atLeast"/>
        </w:trPr>
        <w:tc>
          <w:tcPr>
            <w:tcW w:w="6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автомобильный транспорт</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w:t>
            </w:r>
          </w:p>
        </w:tc>
      </w:tr>
      <w:tr>
        <w:trPr>
          <w:trHeight w:val="145"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0"/>
                <w:szCs w:val="20"/>
              </w:rPr>
            </w:pPr>
            <w:r>
              <w:rPr>
                <w:rFonts w:ascii="Times New Roman" w:hAnsi="Times New Roman"/>
                <w:b/>
                <w:bCs/>
                <w:sz w:val="20"/>
                <w:szCs w:val="20"/>
              </w:rPr>
              <w:t>Земли городского округа</w:t>
            </w:r>
          </w:p>
        </w:tc>
      </w:tr>
      <w:tr>
        <w:trPr>
          <w:trHeight w:val="145"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Земли городского округа: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7572</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7951,3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8020,9</w:t>
            </w:r>
          </w:p>
        </w:tc>
      </w:tr>
      <w:tr>
        <w:trPr>
          <w:trHeight w:val="300"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 селитебные территории (всего)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1685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2182</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2364,9</w:t>
            </w:r>
          </w:p>
        </w:tc>
      </w:tr>
      <w:tr>
        <w:trPr>
          <w:trHeight w:val="35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в расчете на 1 чел.</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highlight w:val="yellow"/>
              </w:rPr>
            </w:pPr>
            <w:r>
              <w:rPr>
                <w:rFonts w:ascii="Times New Roman" w:hAnsi="Times New Roman"/>
                <w:sz w:val="20"/>
                <w:szCs w:val="20"/>
              </w:rPr>
              <w:t>228</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highlight w:val="yellow"/>
              </w:rPr>
            </w:pPr>
            <w:r>
              <w:rPr>
                <w:rFonts w:ascii="Times New Roman" w:hAnsi="Times New Roman"/>
                <w:sz w:val="20"/>
                <w:szCs w:val="20"/>
              </w:rPr>
              <w:t>272,75</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highlight w:val="yellow"/>
              </w:rPr>
            </w:pPr>
            <w:r>
              <w:rPr>
                <w:rFonts w:ascii="Times New Roman" w:hAnsi="Times New Roman"/>
                <w:sz w:val="20"/>
                <w:szCs w:val="20"/>
              </w:rPr>
              <w:t>236,5</w:t>
            </w:r>
          </w:p>
        </w:tc>
      </w:tr>
      <w:tr>
        <w:trPr>
          <w:trHeight w:val="348"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-жилые кварталы и микрорайоны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1036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1167</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1340 (213/91)</w:t>
            </w:r>
          </w:p>
        </w:tc>
      </w:tr>
      <w:tr>
        <w:trPr>
          <w:trHeight w:val="344"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расчете на 1 чел.</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134</w:t>
            </w:r>
          </w:p>
        </w:tc>
      </w:tr>
      <w:tr>
        <w:trPr>
          <w:trHeight w:val="520"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ОДЗ (кроме учреждений и предприятий микрорайонов).</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122</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150 (28)</w:t>
            </w:r>
          </w:p>
        </w:tc>
      </w:tr>
      <w:tr>
        <w:trPr>
          <w:trHeight w:val="334"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расчете на 1 чел.</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16.2</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15.0</w:t>
            </w:r>
          </w:p>
        </w:tc>
      </w:tr>
      <w:tr>
        <w:trPr>
          <w:trHeight w:val="523"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-зеленые насаждения общего пользования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103</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112</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136(33)</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расчете на 1 чел.</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17,6</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-улицы, дороги, площади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414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435</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500</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расчете на одного 1 чел.</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49,5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54.0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50,0</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б) внеселитебные территории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1604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1632</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1820</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промышленные территории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306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468,5</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468,5</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коммунальная зона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346,4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384,2</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зона транспорта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762</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413,3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413,3</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зона энергетики и связи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59</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59</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59</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СЗЗ, ШЗЗ, ВЗЗ</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В/Ч. Режимные объекты. Археологии и истории.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140/89/16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244,76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62</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244,76</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в) Прочие территории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4293</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595,74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795,84</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Плотность населения по округу.</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чел/га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w:t>
            </w:r>
          </w:p>
        </w:tc>
      </w:tr>
      <w:tr>
        <w:trPr>
          <w:trHeight w:val="272"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0"/>
                <w:szCs w:val="20"/>
              </w:rPr>
            </w:pPr>
            <w:r>
              <w:rPr>
                <w:rFonts w:ascii="Times New Roman" w:hAnsi="Times New Roman"/>
                <w:b/>
                <w:bCs/>
                <w:sz w:val="20"/>
                <w:szCs w:val="20"/>
              </w:rPr>
              <w:t>Жилищное строительство</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Жилой фонд (общей площади)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1735100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1970390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2963150</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Обеспеченность общей площадью</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 / чел</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29.6</w:t>
            </w:r>
          </w:p>
        </w:tc>
      </w:tr>
      <w:tr>
        <w:trPr>
          <w:trHeight w:val="272"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Убыль жилищного фонда – всего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23160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117920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Ввод в эксплуатацию жилых домов (годовой) – общей площади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м2</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47</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66</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Плотность многоэтажного жилищного фонда (брутто)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м2/га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5700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5700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5700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Стоимость 1 м2 общей площади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тыс./руб.</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26,0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28,0</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Развитие улично-дорожной сети</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Протяженность дорожной сети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км</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250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общегородских магистралей</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км</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52</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64</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улиц в селитьбе</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км</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грузовых дорог</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км</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26</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Городской транспорт</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Протяженность автобусной сети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км</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65</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80</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Инженерное оборудование и благоустройство</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Водоснабжение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Суммарный отпуск воды (всего) в год (коммунальные водозаборы)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в сутки</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19 935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28 838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36 085</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коммунально-бытовые нужды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2 610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3 908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4 893</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-на нужды промышленности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Производительность водозаборов</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а) Общегородского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м3/сутк</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17 076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23 968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29 771</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б) Новогорского района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1 049</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1 216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1 767</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 Белоярского района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1 810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3 654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4 547</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Обеспеченность центральным водоснабжением</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Водопотребление на 1 человека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литров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269</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360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360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Канализация</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Общее поступление сточных вод</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16 235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24 838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31 385</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бытовые сточные воды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13 830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21 594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28 141</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промышленные сточные воды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2 405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3 244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3 244</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Суммарная мощность очистных сооружений</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16 235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24 838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31 385</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биологической очистки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м3 / сут</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16 235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24 838</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31 385</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Очистка сточных вод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Обеспеченность жилищного фонда канализацией</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100</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Санитарная очистка территории</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Объем ТБО (учитывая смет)</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тонн</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25,8</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42</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Полигон для ТБО</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единиц/га</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1/11,6</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1/17</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Энергоснабжение </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Суммарное потребление электроэнергии (без электротяги)</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млн. КВт/</w:t>
            </w:r>
          </w:p>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час/ год</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118,504</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153,926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224,700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коммунально-бытовые нужды</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83,765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121,600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145,000</w:t>
            </w:r>
          </w:p>
        </w:tc>
      </w:tr>
      <w:tr>
        <w:trPr>
          <w:trHeight w:val="338"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Потребление на 1 человека в год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КВт/час</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1580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1520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1450</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Теплоснабжение</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Мощность централизованных источников тепла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Гкал /час</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87,77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47,77</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852,77</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Подача тепла – всего </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Гкал /час</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64,7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119,4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225,98</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Жилищно-коммунальный сектор</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Гкал /час</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200,0</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202,0</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206,0</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Обеспеченность центральным теплоснабжением</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24,5</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37,6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52,4</w:t>
            </w:r>
          </w:p>
        </w:tc>
      </w:tr>
      <w:tr>
        <w:trPr>
          <w:trHeight w:val="287" w:hRule="atLeast"/>
        </w:trPr>
        <w:tc>
          <w:tcPr>
            <w:tcW w:w="935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 xml:space="preserve">Газоснабжение </w:t>
            </w:r>
          </w:p>
        </w:tc>
      </w:tr>
      <w:tr>
        <w:trPr>
          <w:trHeight w:val="287" w:hRule="atLeast"/>
        </w:trPr>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1</w:t>
            </w:r>
          </w:p>
        </w:tc>
        <w:tc>
          <w:tcPr>
            <w:tcW w:w="31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Потребление газа</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тыс. м³/год</w:t>
            </w:r>
          </w:p>
        </w:tc>
        <w:tc>
          <w:tcPr>
            <w:tcW w:w="13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295 955,7</w:t>
            </w:r>
          </w:p>
        </w:tc>
        <w:tc>
          <w:tcPr>
            <w:tcW w:w="14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570 792,4</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t>797 299,5</w:t>
            </w:r>
          </w:p>
        </w:tc>
      </w:tr>
    </w:tbl>
    <w:p>
      <w:pPr>
        <w:pStyle w:val="Style51"/>
        <w:ind w:hanging="0"/>
        <w:rPr>
          <w:sz w:val="24"/>
          <w:szCs w:val="24"/>
        </w:rPr>
      </w:pPr>
      <w:r>
        <w:rPr/>
      </w:r>
    </w:p>
    <w:p>
      <w:pPr>
        <w:pStyle w:val="Style51"/>
        <w:spacing w:before="120" w:after="60"/>
        <w:ind w:hanging="0"/>
        <w:rPr>
          <w:sz w:val="24"/>
          <w:szCs w:val="24"/>
        </w:rPr>
      </w:pPr>
      <w:r>
        <w:rPr/>
      </w:r>
    </w:p>
    <w:sectPr>
      <w:footerReference w:type="default" r:id="rId19"/>
      <w:type w:val="nextPage"/>
      <w:pgSz w:w="11906" w:h="16838"/>
      <w:pgMar w:left="1701" w:right="850" w:header="0" w:top="113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Segoe UI">
    <w:charset w:val="cc"/>
    <w:family w:val="roman"/>
    <w:pitch w:val="variable"/>
  </w:font>
  <w:font w:name="Courier New">
    <w:charset w:val="cc"/>
    <w:family w:val="roman"/>
    <w:pitch w:val="variable"/>
  </w:font>
  <w:font w:name="Tahoma">
    <w:charset w:val="cc"/>
    <w:family w:val="roman"/>
    <w:pitch w:val="variable"/>
  </w:font>
  <w:font w:name="Liberation Sans">
    <w:altName w:val="Arial"/>
    <w:charset w:val="cc"/>
    <w:family w:val="swiss"/>
    <w:pitch w:val="variable"/>
  </w:font>
  <w:font w:name="Calibri Light">
    <w:charset w:val="cc"/>
    <w:family w:val="roman"/>
    <w:pitch w:val="variable"/>
  </w:font>
  <w:font w:name="Arial MT">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2</w:t>
    </w:r>
    <w:r>
      <w:rPr/>
      <w:fldChar w:fldCharType="end"/>
    </w:r>
  </w:p>
  <w:p>
    <w:pPr>
      <w:pStyle w:val="3"/>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r>
  </w:p>
  <w:p>
    <w:pPr>
      <w:pStyle w:val="3"/>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67</w:t>
    </w:r>
    <w:r>
      <w:rPr/>
      <w:fldChar w:fldCharType="end"/>
    </w:r>
  </w:p>
  <w:p>
    <w:pPr>
      <w:pStyle w:val="3"/>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r>
  </w:p>
  <w:p>
    <w:pPr>
      <w:pStyle w:val="3"/>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36</w:t>
    </w:r>
    <w:r>
      <w:rPr/>
      <w:fldChar w:fldCharType="end"/>
    </w:r>
  </w:p>
  <w:p>
    <w:pPr>
      <w:pStyle w:val="3"/>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r>
  </w:p>
  <w:p>
    <w:pPr>
      <w:pStyle w:val="3"/>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39</w:t>
    </w:r>
    <w:r>
      <w:rPr/>
      <w:fldChar w:fldCharType="end"/>
    </w:r>
  </w:p>
  <w:p>
    <w:pPr>
      <w:pStyle w:val="3"/>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r>
  </w:p>
  <w:p>
    <w:pPr>
      <w:pStyle w:val="3"/>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43</w:t>
    </w:r>
    <w:r>
      <w:rPr/>
      <w:fldChar w:fldCharType="end"/>
    </w:r>
  </w:p>
  <w:p>
    <w:pPr>
      <w:pStyle w:val="3"/>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r>
  </w:p>
  <w:p>
    <w:pPr>
      <w:pStyle w:val="3"/>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3"/>
      <w:jc w:val="right"/>
      <w:rPr/>
    </w:pPr>
    <w:r>
      <w:rPr/>
      <w:fldChar w:fldCharType="begin"/>
    </w:r>
    <w:r>
      <w:rPr/>
      <w:instrText> PAGE </w:instrText>
    </w:r>
    <w:r>
      <w:rPr/>
      <w:fldChar w:fldCharType="separate"/>
    </w:r>
    <w:r>
      <w:rPr/>
      <w:t>46</w:t>
    </w:r>
    <w:r>
      <w:rPr/>
      <w:fldChar w:fldCharType="end"/>
    </w:r>
  </w:p>
  <w:p>
    <w:pPr>
      <w:pStyle w:val="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decimal"/>
      <w:suff w:val="space"/>
      <w:lvlText w:val="%1"/>
      <w:lvlJc w:val="left"/>
      <w:pPr>
        <w:tabs>
          <w:tab w:val="num" w:pos="0"/>
        </w:tabs>
        <w:ind w:left="5671" w:firstLine="567"/>
      </w:pPr>
      <w:rPr>
        <w:b w:val="false"/>
        <w:rFonts w:cs="Times New Roman"/>
      </w:rPr>
    </w:lvl>
    <w:lvl w:ilvl="1">
      <w:start w:val="1"/>
      <w:pStyle w:val="2"/>
      <w:numFmt w:val="decimal"/>
      <w:suff w:val="space"/>
      <w:lvlText w:val="%1.%2"/>
      <w:lvlJc w:val="left"/>
      <w:pPr>
        <w:tabs>
          <w:tab w:val="num" w:pos="0"/>
        </w:tabs>
        <w:ind w:left="6662" w:firstLine="567"/>
      </w:pPr>
      <w:rPr>
        <w:sz w:val="24"/>
        <w:szCs w:val="24"/>
        <w:rFonts w:cs="Times New Roman"/>
      </w:rPr>
    </w:lvl>
    <w:lvl w:ilvl="2">
      <w:start w:val="1"/>
      <w:pStyle w:val="3"/>
      <w:numFmt w:val="decimal"/>
      <w:suff w:val="space"/>
      <w:lvlText w:val="%1.%2.%3"/>
      <w:lvlJc w:val="left"/>
      <w:pPr>
        <w:tabs>
          <w:tab w:val="num" w:pos="0"/>
        </w:tabs>
        <w:ind w:left="-283" w:firstLine="567"/>
      </w:pPr>
      <w:rPr>
        <w:rFonts w:cs="Times New Roman"/>
      </w:rPr>
    </w:lvl>
    <w:lvl w:ilvl="3">
      <w:start w:val="1"/>
      <w:pStyle w:val="4"/>
      <w:numFmt w:val="decimal"/>
      <w:suff w:val="space"/>
      <w:lvlText w:val="%1.%2.%3.%4"/>
      <w:lvlJc w:val="left"/>
      <w:pPr>
        <w:tabs>
          <w:tab w:val="num" w:pos="0"/>
        </w:tabs>
        <w:ind w:left="426" w:firstLine="567"/>
      </w:pPr>
      <w:rPr>
        <w:rFonts w:cs="Times New Roman"/>
      </w:rPr>
    </w:lvl>
    <w:lvl w:ilvl="4">
      <w:start w:val="1"/>
      <w:pStyle w:val="5"/>
      <w:numFmt w:val="decimal"/>
      <w:suff w:val="space"/>
      <w:lvlText w:val="%1.%2.%3.%4.%5"/>
      <w:lvlJc w:val="left"/>
      <w:pPr>
        <w:tabs>
          <w:tab w:val="num" w:pos="0"/>
        </w:tabs>
        <w:ind w:left="0" w:firstLine="567"/>
      </w:pPr>
      <w:rPr>
        <w:rFonts w:cs="Times New Roman"/>
      </w:rPr>
    </w:lvl>
    <w:lvl w:ilvl="5">
      <w:start w:val="1"/>
      <w:pStyle w:val="6"/>
      <w:numFmt w:val="decimal"/>
      <w:suff w:val="space"/>
      <w:lvlText w:val="%1.%2.%3.%4.%5.%6"/>
      <w:lvlJc w:val="left"/>
      <w:pPr>
        <w:tabs>
          <w:tab w:val="num" w:pos="0"/>
        </w:tabs>
        <w:ind w:left="0" w:firstLine="567"/>
      </w:pPr>
      <w:rPr>
        <w:rFonts w:cs="Times New Roman"/>
      </w:rPr>
    </w:lvl>
    <w:lvl w:ilvl="6">
      <w:start w:val="1"/>
      <w:pStyle w:val="7"/>
      <w:numFmt w:val="decimal"/>
      <w:suff w:val="space"/>
      <w:lvlText w:val="%1.%2.%3.%4.%5.%6.%7"/>
      <w:lvlJc w:val="left"/>
      <w:pPr>
        <w:tabs>
          <w:tab w:val="num" w:pos="0"/>
        </w:tabs>
        <w:ind w:left="0" w:firstLine="567"/>
      </w:pPr>
      <w:rPr>
        <w:rFonts w:cs="Times New Roman"/>
      </w:rPr>
    </w:lvl>
    <w:lvl w:ilvl="7">
      <w:start w:val="1"/>
      <w:pStyle w:val="8"/>
      <w:numFmt w:val="decimal"/>
      <w:suff w:val="space"/>
      <w:lvlText w:val="%1.%2.%3.%4.%5.%6.%7.%8"/>
      <w:lvlJc w:val="left"/>
      <w:pPr>
        <w:tabs>
          <w:tab w:val="num" w:pos="0"/>
        </w:tabs>
        <w:ind w:left="0" w:firstLine="567"/>
      </w:pPr>
      <w:rPr>
        <w:rFonts w:cs="Times New Roman"/>
      </w:rPr>
    </w:lvl>
    <w:lvl w:ilvl="8">
      <w:start w:val="1"/>
      <w:pStyle w:val="9"/>
      <w:numFmt w:val="decimal"/>
      <w:suff w:val="space"/>
      <w:lvlText w:val="%1.%2.%3.%4.%5.%6.%7.%8.%9"/>
      <w:lvlJc w:val="left"/>
      <w:pPr>
        <w:tabs>
          <w:tab w:val="num" w:pos="0"/>
        </w:tabs>
        <w:ind w:left="0" w:firstLine="567"/>
      </w:pPr>
      <w:rPr>
        <w:rFonts w:cs="Times New Roman"/>
      </w:rPr>
    </w:lvl>
  </w:abstractNum>
  <w:abstractNum w:abstractNumId="2">
    <w:lvl w:ilvl="0">
      <w:start w:val="1"/>
      <w:numFmt w:val="bullet"/>
      <w:suff w:val="space"/>
      <w:lvlText w:val="–"/>
      <w:lvlJc w:val="left"/>
      <w:pPr>
        <w:tabs>
          <w:tab w:val="num" w:pos="0"/>
        </w:tabs>
        <w:ind w:left="2552"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3">
    <w:lvl w:ilvl="0">
      <w:start w:val="1"/>
      <w:numFmt w:val="decimal"/>
      <w:lvlText w:val="%1."/>
      <w:lvlJc w:val="left"/>
      <w:pPr>
        <w:tabs>
          <w:tab w:val="num" w:pos="0"/>
        </w:tabs>
        <w:ind w:left="927" w:hanging="360"/>
      </w:pPr>
      <w:rPr>
        <w:rFonts w:cs="Times New Roman"/>
      </w:rPr>
    </w:lvl>
    <w:lvl w:ilvl="1">
      <w:start w:val="1"/>
      <w:numFmt w:val="lowerLetter"/>
      <w:lvlText w:val="%2."/>
      <w:lvlJc w:val="left"/>
      <w:pPr>
        <w:tabs>
          <w:tab w:val="num" w:pos="0"/>
        </w:tabs>
        <w:ind w:left="1647" w:hanging="360"/>
      </w:pPr>
      <w:rPr>
        <w:rFonts w:cs="Times New Roman"/>
      </w:rPr>
    </w:lvl>
    <w:lvl w:ilvl="2">
      <w:start w:val="1"/>
      <w:numFmt w:val="lowerRoman"/>
      <w:lvlText w:val="%3."/>
      <w:lvlJc w:val="right"/>
      <w:pPr>
        <w:tabs>
          <w:tab w:val="num" w:pos="0"/>
        </w:tabs>
        <w:ind w:left="2367" w:hanging="180"/>
      </w:pPr>
      <w:rPr>
        <w:rFonts w:cs="Times New Roman"/>
      </w:rPr>
    </w:lvl>
    <w:lvl w:ilvl="3">
      <w:start w:val="1"/>
      <w:numFmt w:val="decimal"/>
      <w:lvlText w:val="%4."/>
      <w:lvlJc w:val="left"/>
      <w:pPr>
        <w:tabs>
          <w:tab w:val="num" w:pos="0"/>
        </w:tabs>
        <w:ind w:left="3087" w:hanging="360"/>
      </w:pPr>
      <w:rPr>
        <w:rFonts w:cs="Times New Roman"/>
      </w:rPr>
    </w:lvl>
    <w:lvl w:ilvl="4">
      <w:start w:val="1"/>
      <w:numFmt w:val="lowerLetter"/>
      <w:lvlText w:val="%5."/>
      <w:lvlJc w:val="left"/>
      <w:pPr>
        <w:tabs>
          <w:tab w:val="num" w:pos="0"/>
        </w:tabs>
        <w:ind w:left="3807" w:hanging="360"/>
      </w:pPr>
      <w:rPr>
        <w:rFonts w:cs="Times New Roman"/>
      </w:rPr>
    </w:lvl>
    <w:lvl w:ilvl="5">
      <w:start w:val="1"/>
      <w:numFmt w:val="lowerRoman"/>
      <w:lvlText w:val="%6."/>
      <w:lvlJc w:val="right"/>
      <w:pPr>
        <w:tabs>
          <w:tab w:val="num" w:pos="0"/>
        </w:tabs>
        <w:ind w:left="4527" w:hanging="180"/>
      </w:pPr>
      <w:rPr>
        <w:rFonts w:cs="Times New Roman"/>
      </w:rPr>
    </w:lvl>
    <w:lvl w:ilvl="6">
      <w:start w:val="1"/>
      <w:numFmt w:val="decimal"/>
      <w:lvlText w:val="%7."/>
      <w:lvlJc w:val="left"/>
      <w:pPr>
        <w:tabs>
          <w:tab w:val="num" w:pos="0"/>
        </w:tabs>
        <w:ind w:left="5247" w:hanging="360"/>
      </w:pPr>
      <w:rPr>
        <w:rFonts w:cs="Times New Roman"/>
      </w:rPr>
    </w:lvl>
    <w:lvl w:ilvl="7">
      <w:start w:val="1"/>
      <w:numFmt w:val="lowerLetter"/>
      <w:lvlText w:val="%8."/>
      <w:lvlJc w:val="left"/>
      <w:pPr>
        <w:tabs>
          <w:tab w:val="num" w:pos="0"/>
        </w:tabs>
        <w:ind w:left="5967" w:hanging="360"/>
      </w:pPr>
      <w:rPr>
        <w:rFonts w:cs="Times New Roman"/>
      </w:rPr>
    </w:lvl>
    <w:lvl w:ilvl="8">
      <w:start w:val="1"/>
      <w:numFmt w:val="lowerRoman"/>
      <w:lvlText w:val="%9."/>
      <w:lvlJc w:val="right"/>
      <w:pPr>
        <w:tabs>
          <w:tab w:val="num" w:pos="0"/>
        </w:tabs>
        <w:ind w:left="6687" w:hanging="180"/>
      </w:pPr>
      <w:rPr>
        <w:rFonts w:cs="Times New Roman"/>
      </w:rPr>
    </w:lvl>
  </w:abstractNum>
  <w:abstractNum w:abstractNumId="4">
    <w:lvl w:ilvl="0">
      <w:start w:val="1"/>
      <w:numFmt w:val="decimal"/>
      <w:suff w:val="space"/>
      <w:lvlText w:val="Таблица %1"/>
      <w:lvlJc w:val="left"/>
      <w:pPr>
        <w:tabs>
          <w:tab w:val="num" w:pos="0"/>
        </w:tabs>
        <w:ind w:left="2346" w:hanging="360"/>
      </w:pPr>
      <w:rPr>
        <w:smallCaps w:val="false"/>
        <w:caps w:val="false"/>
        <w:outline w:val="false"/>
        <w:dstrike w:val="false"/>
        <w:strike w:val="false"/>
        <w:vertAlign w:val="baseline"/>
        <w:position w:val="0"/>
        <w:sz w:val="22"/>
        <w:spacing w:val="0"/>
        <w:i w:val="false"/>
        <w:shadow w:val="false"/>
        <w:u w:val="none"/>
        <w:b w:val="false"/>
        <w:kern w:val="0"/>
        <w:effect w:val="none"/>
        <w:iCs w:val="false"/>
        <w:bCs w:val="false"/>
        <w:emboss w:val="false"/>
        <w:imprint w:val="false"/>
        <w:vanish w:val="false"/>
        <w:rFonts w:cs="Times New Roman"/>
      </w:rPr>
    </w:lvl>
    <w:lvl w:ilvl="1">
      <w:start w:val="1"/>
      <w:numFmt w:val="lowerLetter"/>
      <w:lvlText w:val="%2)"/>
      <w:lvlJc w:val="left"/>
      <w:pPr>
        <w:tabs>
          <w:tab w:val="num" w:pos="0"/>
        </w:tabs>
        <w:ind w:left="720" w:hanging="360"/>
      </w:pPr>
      <w:rPr>
        <w:rFonts w:cs="Times New Roman"/>
      </w:rPr>
    </w:lvl>
    <w:lvl w:ilvl="2">
      <w:start w:val="1"/>
      <w:numFmt w:val="lowerRoman"/>
      <w:lvlText w:val="%3)"/>
      <w:lvlJc w:val="left"/>
      <w:pPr>
        <w:tabs>
          <w:tab w:val="num" w:pos="0"/>
        </w:tabs>
        <w:ind w:left="1080" w:hanging="360"/>
      </w:pPr>
      <w:rPr>
        <w:rFonts w:cs="Times New Roman"/>
      </w:rPr>
    </w:lvl>
    <w:lvl w:ilvl="3">
      <w:start w:val="1"/>
      <w:numFmt w:val="decimal"/>
      <w:lvlText w:val="(%4)"/>
      <w:lvlJc w:val="left"/>
      <w:pPr>
        <w:tabs>
          <w:tab w:val="num" w:pos="0"/>
        </w:tabs>
        <w:ind w:left="1440" w:hanging="360"/>
      </w:pPr>
      <w:rPr>
        <w:rFonts w:cs="Times New Roman"/>
      </w:rPr>
    </w:lvl>
    <w:lvl w:ilvl="4">
      <w:start w:val="1"/>
      <w:numFmt w:val="lowerLetter"/>
      <w:lvlText w:val="(%5)"/>
      <w:lvlJc w:val="left"/>
      <w:pPr>
        <w:tabs>
          <w:tab w:val="num" w:pos="0"/>
        </w:tabs>
        <w:ind w:left="1800" w:hanging="360"/>
      </w:pPr>
      <w:rPr>
        <w:rFonts w:cs="Times New Roman"/>
      </w:rPr>
    </w:lvl>
    <w:lvl w:ilvl="5">
      <w:start w:val="1"/>
      <w:numFmt w:val="lowerRoman"/>
      <w:lvlText w:val="(%6)"/>
      <w:lvlJc w:val="left"/>
      <w:pPr>
        <w:tabs>
          <w:tab w:val="num" w:pos="0"/>
        </w:tabs>
        <w:ind w:left="2160" w:hanging="360"/>
      </w:pPr>
      <w:rPr>
        <w:rFonts w:cs="Times New Roman"/>
      </w:rPr>
    </w:lvl>
    <w:lvl w:ilvl="6">
      <w:start w:val="1"/>
      <w:numFmt w:val="decimal"/>
      <w:lvlText w:val="%7."/>
      <w:lvlJc w:val="left"/>
      <w:pPr>
        <w:tabs>
          <w:tab w:val="num" w:pos="0"/>
        </w:tabs>
        <w:ind w:left="2520" w:hanging="360"/>
      </w:pPr>
      <w:rPr>
        <w:rFonts w:cs="Times New Roman"/>
      </w:rPr>
    </w:lvl>
    <w:lvl w:ilvl="7">
      <w:start w:val="1"/>
      <w:numFmt w:val="lowerLetter"/>
      <w:lvlText w:val="%8."/>
      <w:lvlJc w:val="left"/>
      <w:pPr>
        <w:tabs>
          <w:tab w:val="num" w:pos="0"/>
        </w:tabs>
        <w:ind w:left="2880" w:hanging="360"/>
      </w:pPr>
      <w:rPr>
        <w:rFonts w:cs="Times New Roman"/>
      </w:rPr>
    </w:lvl>
    <w:lvl w:ilvl="8">
      <w:start w:val="1"/>
      <w:numFmt w:val="lowerRoman"/>
      <w:lvlText w:val="%9."/>
      <w:lvlJc w:val="left"/>
      <w:pPr>
        <w:tabs>
          <w:tab w:val="num" w:pos="0"/>
        </w:tabs>
        <w:ind w:left="3240" w:hanging="360"/>
      </w:pPr>
      <w:rPr>
        <w:rFonts w:cs="Times New Roman"/>
      </w:rPr>
    </w:lvl>
  </w:abstractNum>
  <w:abstractNum w:abstractNumId="5">
    <w:lvl w:ilvl="0">
      <w:start w:val="1"/>
      <w:numFmt w:val="bullet"/>
      <w:suff w:val="space"/>
      <w:lvlText w:val="–"/>
      <w:lvlJc w:val="left"/>
      <w:pPr>
        <w:tabs>
          <w:tab w:val="num" w:pos="0"/>
        </w:tabs>
        <w:ind w:left="2552"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6">
    <w:lvl w:ilvl="0">
      <w:start w:val="1"/>
      <w:numFmt w:val="bullet"/>
      <w:suff w:val="space"/>
      <w:lvlText w:val="–"/>
      <w:lvlJc w:val="left"/>
      <w:pPr>
        <w:tabs>
          <w:tab w:val="num" w:pos="0"/>
        </w:tabs>
        <w:ind w:left="2552"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7">
    <w:lvl w:ilvl="0">
      <w:start w:val="1"/>
      <w:numFmt w:val="bullet"/>
      <w:suff w:val="space"/>
      <w:lvlText w:val="–"/>
      <w:lvlJc w:val="left"/>
      <w:pPr>
        <w:tabs>
          <w:tab w:val="num" w:pos="0"/>
        </w:tabs>
        <w:ind w:left="2552"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8">
    <w:lvl w:ilvl="0">
      <w:start w:val="1"/>
      <w:numFmt w:val="bullet"/>
      <w:suff w:val="space"/>
      <w:lvlText w:val="–"/>
      <w:lvlJc w:val="left"/>
      <w:pPr>
        <w:tabs>
          <w:tab w:val="num" w:pos="0"/>
        </w:tabs>
        <w:ind w:left="2552"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9">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bering>
</file>

<file path=word/settings.xml><?xml version="1.0" encoding="utf-8"?>
<w:settings xmlns:w="http://schemas.openxmlformats.org/wordprocessingml/2006/main">
  <w:zoom w:percent="100"/>
  <w:defaultTabStop w:val="709"/>
  <w:autoHyphenation w:val="true"/>
  <w:doNotHyphenateCap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ru-RU" w:bidi="ar-SA"/>
      </w:rPr>
    </w:rPrDefault>
    <w:pPrDefault>
      <w:pPr>
        <w:suppressAutoHyphens w:val="true"/>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uiPriority="0"/>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atentStyles>
  <w:style w:type="paragraph" w:styleId="Normal" w:default="1">
    <w:name w:val="Normal"/>
    <w:qFormat/>
    <w:rsid w:val="00925e34"/>
    <w:pPr>
      <w:widowControl/>
      <w:suppressAutoHyphens w:val="true"/>
      <w:bidi w:val="0"/>
      <w:spacing w:lineRule="auto" w:line="259" w:before="0" w:after="160"/>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Style51"/>
    <w:link w:val="Heading1Char"/>
    <w:uiPriority w:val="99"/>
    <w:qFormat/>
    <w:rsid w:val="0031645b"/>
    <w:pPr>
      <w:keepNext w:val="true"/>
      <w:pageBreakBefore/>
      <w:numPr>
        <w:ilvl w:val="0"/>
        <w:numId w:val="1"/>
      </w:numPr>
      <w:tabs>
        <w:tab w:val="clear" w:pos="709"/>
        <w:tab w:val="left" w:pos="851" w:leader="none"/>
      </w:tabs>
      <w:spacing w:lineRule="auto" w:line="240" w:before="240" w:after="120"/>
      <w:ind w:left="-141" w:hanging="0"/>
      <w:jc w:val="center"/>
      <w:outlineLvl w:val="0"/>
    </w:pPr>
    <w:rPr>
      <w:rFonts w:ascii="Times New Roman" w:hAnsi="Times New Roman" w:eastAsia="Times New Roman"/>
      <w:b/>
      <w:bCs/>
      <w:caps/>
      <w:kern w:val="2"/>
      <w:sz w:val="28"/>
      <w:szCs w:val="28"/>
      <w:lang w:eastAsia="ru-RU"/>
    </w:rPr>
  </w:style>
  <w:style w:type="paragraph" w:styleId="2">
    <w:name w:val="Heading 2"/>
    <w:basedOn w:val="Normal"/>
    <w:next w:val="Style51"/>
    <w:link w:val="Heading2Char"/>
    <w:uiPriority w:val="99"/>
    <w:qFormat/>
    <w:rsid w:val="0031645b"/>
    <w:pPr>
      <w:keepNext w:val="true"/>
      <w:numPr>
        <w:ilvl w:val="1"/>
        <w:numId w:val="1"/>
      </w:numPr>
      <w:tabs>
        <w:tab w:val="clear" w:pos="709"/>
        <w:tab w:val="left" w:pos="1134" w:leader="none"/>
        <w:tab w:val="left" w:pos="1276" w:leader="none"/>
      </w:tabs>
      <w:spacing w:lineRule="auto" w:line="240" w:before="180" w:after="60"/>
      <w:outlineLvl w:val="1"/>
    </w:pPr>
    <w:rPr>
      <w:rFonts w:ascii="Times New Roman" w:hAnsi="Times New Roman" w:eastAsia="Times New Roman"/>
      <w:b/>
      <w:bCs/>
      <w:iCs/>
      <w:sz w:val="28"/>
      <w:szCs w:val="28"/>
      <w:lang w:eastAsia="ru-RU"/>
    </w:rPr>
  </w:style>
  <w:style w:type="paragraph" w:styleId="3">
    <w:name w:val="Heading 3"/>
    <w:basedOn w:val="Normal"/>
    <w:link w:val="Heading3Char2"/>
    <w:uiPriority w:val="99"/>
    <w:qFormat/>
    <w:rsid w:val="00e126cd"/>
    <w:pPr>
      <w:numPr>
        <w:ilvl w:val="2"/>
        <w:numId w:val="1"/>
      </w:numPr>
      <w:tabs>
        <w:tab w:val="clear" w:pos="709"/>
        <w:tab w:val="center" w:pos="4677" w:leader="none"/>
        <w:tab w:val="right" w:pos="9355" w:leader="none"/>
      </w:tabs>
      <w:spacing w:lineRule="auto" w:line="240" w:before="0" w:after="0"/>
      <w:outlineLvl w:val="2"/>
    </w:pPr>
    <w:rPr/>
  </w:style>
  <w:style w:type="paragraph" w:styleId="4">
    <w:name w:val="Heading 4"/>
    <w:basedOn w:val="Normal"/>
    <w:next w:val="Style51"/>
    <w:link w:val="Heading4Char"/>
    <w:uiPriority w:val="99"/>
    <w:qFormat/>
    <w:rsid w:val="0031645b"/>
    <w:pPr>
      <w:keepNext w:val="true"/>
      <w:numPr>
        <w:ilvl w:val="3"/>
        <w:numId w:val="1"/>
      </w:numPr>
      <w:tabs>
        <w:tab w:val="clear" w:pos="709"/>
        <w:tab w:val="left" w:pos="1418" w:leader="none"/>
      </w:tabs>
      <w:spacing w:lineRule="auto" w:line="240" w:before="120" w:after="60"/>
      <w:outlineLvl w:val="3"/>
    </w:pPr>
    <w:rPr>
      <w:rFonts w:ascii="Times New Roman" w:hAnsi="Times New Roman" w:eastAsia="Times New Roman"/>
      <w:b/>
      <w:bCs/>
      <w:sz w:val="24"/>
      <w:szCs w:val="24"/>
      <w:lang w:eastAsia="ru-RU"/>
    </w:rPr>
  </w:style>
  <w:style w:type="paragraph" w:styleId="5">
    <w:name w:val="Heading 5"/>
    <w:basedOn w:val="Normal"/>
    <w:next w:val="Normal"/>
    <w:link w:val="Heading5Char"/>
    <w:uiPriority w:val="99"/>
    <w:qFormat/>
    <w:rsid w:val="0031645b"/>
    <w:pPr>
      <w:numPr>
        <w:ilvl w:val="4"/>
        <w:numId w:val="1"/>
      </w:numPr>
      <w:tabs>
        <w:tab w:val="clear" w:pos="709"/>
        <w:tab w:val="left" w:pos="1701" w:leader="none"/>
      </w:tabs>
      <w:spacing w:lineRule="auto" w:line="240" w:before="240" w:after="60"/>
      <w:outlineLvl w:val="4"/>
    </w:pPr>
    <w:rPr>
      <w:rFonts w:ascii="Times New Roman" w:hAnsi="Times New Roman" w:eastAsia="Times New Roman"/>
      <w:b/>
      <w:bCs/>
      <w:iCs/>
      <w:lang w:eastAsia="ru-RU"/>
    </w:rPr>
  </w:style>
  <w:style w:type="paragraph" w:styleId="6">
    <w:name w:val="Heading 6"/>
    <w:basedOn w:val="Normal"/>
    <w:next w:val="Normal"/>
    <w:link w:val="Heading6Char"/>
    <w:uiPriority w:val="99"/>
    <w:qFormat/>
    <w:rsid w:val="0031645b"/>
    <w:pPr>
      <w:numPr>
        <w:ilvl w:val="5"/>
        <w:numId w:val="1"/>
      </w:numPr>
      <w:spacing w:lineRule="auto" w:line="240" w:before="240" w:after="60"/>
      <w:outlineLvl w:val="5"/>
    </w:pPr>
    <w:rPr>
      <w:rFonts w:ascii="Times New Roman" w:hAnsi="Times New Roman" w:eastAsia="Times New Roman"/>
      <w:b/>
      <w:bCs/>
      <w:lang w:eastAsia="ru-RU"/>
    </w:rPr>
  </w:style>
  <w:style w:type="paragraph" w:styleId="7">
    <w:name w:val="Heading 7"/>
    <w:basedOn w:val="Normal"/>
    <w:next w:val="Normal"/>
    <w:link w:val="Heading7Char"/>
    <w:uiPriority w:val="99"/>
    <w:qFormat/>
    <w:rsid w:val="0031645b"/>
    <w:pPr>
      <w:numPr>
        <w:ilvl w:val="6"/>
        <w:numId w:val="1"/>
      </w:numPr>
      <w:spacing w:lineRule="auto" w:line="240" w:before="240" w:after="60"/>
      <w:outlineLvl w:val="6"/>
    </w:pPr>
    <w:rPr>
      <w:rFonts w:ascii="Times New Roman" w:hAnsi="Times New Roman" w:eastAsia="Times New Roman"/>
      <w:sz w:val="24"/>
      <w:szCs w:val="24"/>
      <w:lang w:eastAsia="ru-RU"/>
    </w:rPr>
  </w:style>
  <w:style w:type="paragraph" w:styleId="8">
    <w:name w:val="Heading 8"/>
    <w:basedOn w:val="Normal"/>
    <w:next w:val="Normal"/>
    <w:link w:val="Heading8Char"/>
    <w:uiPriority w:val="99"/>
    <w:qFormat/>
    <w:rsid w:val="0031645b"/>
    <w:pPr>
      <w:numPr>
        <w:ilvl w:val="7"/>
        <w:numId w:val="1"/>
      </w:numPr>
      <w:spacing w:lineRule="auto" w:line="240" w:before="240" w:after="60"/>
      <w:outlineLvl w:val="7"/>
    </w:pPr>
    <w:rPr>
      <w:rFonts w:ascii="Times New Roman" w:hAnsi="Times New Roman" w:eastAsia="Times New Roman"/>
      <w:i/>
      <w:iCs/>
      <w:sz w:val="24"/>
      <w:szCs w:val="24"/>
      <w:lang w:eastAsia="ru-RU"/>
    </w:rPr>
  </w:style>
  <w:style w:type="paragraph" w:styleId="9">
    <w:name w:val="Heading 9"/>
    <w:basedOn w:val="Normal"/>
    <w:next w:val="Normal"/>
    <w:link w:val="Heading9Char"/>
    <w:uiPriority w:val="99"/>
    <w:qFormat/>
    <w:rsid w:val="0031645b"/>
    <w:pPr>
      <w:numPr>
        <w:ilvl w:val="8"/>
        <w:numId w:val="1"/>
      </w:numPr>
      <w:spacing w:lineRule="auto" w:line="240" w:before="240" w:after="60"/>
      <w:outlineLvl w:val="8"/>
    </w:pPr>
    <w:rPr>
      <w:rFonts w:ascii="Arial" w:hAnsi="Arial" w:eastAsia="Times New Roman"/>
      <w:lang w:eastAsia="ru-RU"/>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locked/>
    <w:rsid w:val="0031645b"/>
    <w:rPr>
      <w:rFonts w:ascii="Times New Roman" w:hAnsi="Times New Roman" w:cs="Times New Roman"/>
      <w:b/>
      <w:bCs/>
      <w:caps/>
      <w:kern w:val="2"/>
      <w:sz w:val="28"/>
      <w:szCs w:val="28"/>
    </w:rPr>
  </w:style>
  <w:style w:type="character" w:styleId="Heading2Char" w:customStyle="1">
    <w:name w:val="Heading 2 Char"/>
    <w:basedOn w:val="DefaultParagraphFont"/>
    <w:link w:val="Heading2"/>
    <w:uiPriority w:val="99"/>
    <w:qFormat/>
    <w:locked/>
    <w:rsid w:val="0031645b"/>
    <w:rPr>
      <w:rFonts w:ascii="Times New Roman" w:hAnsi="Times New Roman" w:cs="Times New Roman"/>
      <w:b/>
      <w:bCs/>
      <w:iCs/>
      <w:sz w:val="28"/>
      <w:szCs w:val="28"/>
    </w:rPr>
  </w:style>
  <w:style w:type="character" w:styleId="Heading3Char" w:customStyle="1">
    <w:name w:val="Heading 3 Char"/>
    <w:basedOn w:val="DefaultParagraphFont"/>
    <w:link w:val="Heading3"/>
    <w:uiPriority w:val="9"/>
    <w:semiHidden/>
    <w:qFormat/>
    <w:rsid w:val="00b16f18"/>
    <w:rPr>
      <w:rFonts w:ascii="Cambria" w:hAnsi="Cambria" w:eastAsia="" w:cs="" w:asciiTheme="majorHAnsi" w:cstheme="majorBidi" w:eastAsiaTheme="majorEastAsia" w:hAnsiTheme="majorHAnsi"/>
      <w:b/>
      <w:bCs/>
      <w:sz w:val="26"/>
      <w:szCs w:val="26"/>
      <w:lang w:eastAsia="en-US"/>
    </w:rPr>
  </w:style>
  <w:style w:type="character" w:styleId="Heading4Char" w:customStyle="1">
    <w:name w:val="Heading 4 Char"/>
    <w:basedOn w:val="DefaultParagraphFont"/>
    <w:link w:val="Heading4"/>
    <w:uiPriority w:val="99"/>
    <w:qFormat/>
    <w:locked/>
    <w:rsid w:val="0031645b"/>
    <w:rPr>
      <w:rFonts w:ascii="Times New Roman" w:hAnsi="Times New Roman" w:cs="Times New Roman"/>
      <w:b/>
      <w:bCs/>
      <w:sz w:val="24"/>
      <w:szCs w:val="24"/>
    </w:rPr>
  </w:style>
  <w:style w:type="character" w:styleId="Heading5Char" w:customStyle="1">
    <w:name w:val="Heading 5 Char"/>
    <w:basedOn w:val="DefaultParagraphFont"/>
    <w:link w:val="Heading5"/>
    <w:uiPriority w:val="99"/>
    <w:qFormat/>
    <w:locked/>
    <w:rsid w:val="0031645b"/>
    <w:rPr>
      <w:rFonts w:ascii="Times New Roman" w:hAnsi="Times New Roman" w:cs="Times New Roman"/>
      <w:b/>
      <w:bCs/>
      <w:iCs/>
    </w:rPr>
  </w:style>
  <w:style w:type="character" w:styleId="Heading6Char" w:customStyle="1">
    <w:name w:val="Heading 6 Char"/>
    <w:basedOn w:val="DefaultParagraphFont"/>
    <w:link w:val="Heading6"/>
    <w:uiPriority w:val="99"/>
    <w:qFormat/>
    <w:locked/>
    <w:rsid w:val="0031645b"/>
    <w:rPr>
      <w:rFonts w:ascii="Times New Roman" w:hAnsi="Times New Roman" w:cs="Times New Roman"/>
      <w:b/>
      <w:bCs/>
    </w:rPr>
  </w:style>
  <w:style w:type="character" w:styleId="Heading7Char" w:customStyle="1">
    <w:name w:val="Heading 7 Char"/>
    <w:basedOn w:val="DefaultParagraphFont"/>
    <w:link w:val="Heading7"/>
    <w:uiPriority w:val="99"/>
    <w:qFormat/>
    <w:locked/>
    <w:rsid w:val="0031645b"/>
    <w:rPr>
      <w:rFonts w:ascii="Times New Roman" w:hAnsi="Times New Roman" w:cs="Times New Roman"/>
      <w:sz w:val="24"/>
      <w:szCs w:val="24"/>
    </w:rPr>
  </w:style>
  <w:style w:type="character" w:styleId="Heading8Char" w:customStyle="1">
    <w:name w:val="Heading 8 Char"/>
    <w:basedOn w:val="DefaultParagraphFont"/>
    <w:link w:val="Heading8"/>
    <w:uiPriority w:val="99"/>
    <w:qFormat/>
    <w:locked/>
    <w:rsid w:val="0031645b"/>
    <w:rPr>
      <w:rFonts w:ascii="Times New Roman" w:hAnsi="Times New Roman" w:cs="Times New Roman"/>
      <w:i/>
      <w:iCs/>
      <w:sz w:val="24"/>
      <w:szCs w:val="24"/>
    </w:rPr>
  </w:style>
  <w:style w:type="character" w:styleId="Heading9Char" w:customStyle="1">
    <w:name w:val="Heading 9 Char"/>
    <w:basedOn w:val="DefaultParagraphFont"/>
    <w:link w:val="Heading9"/>
    <w:uiPriority w:val="99"/>
    <w:qFormat/>
    <w:locked/>
    <w:rsid w:val="0031645b"/>
    <w:rPr>
      <w:rFonts w:ascii="Arial" w:hAnsi="Arial" w:cs="Times New Roman"/>
    </w:rPr>
  </w:style>
  <w:style w:type="character" w:styleId="S" w:customStyle="1">
    <w:name w:val="S_Обычный в таблице Знак"/>
    <w:link w:val="S"/>
    <w:uiPriority w:val="99"/>
    <w:qFormat/>
    <w:locked/>
    <w:rsid w:val="0031645b"/>
    <w:rPr>
      <w:rFonts w:ascii="Times New Roman" w:hAnsi="Times New Roman"/>
      <w:sz w:val="24"/>
    </w:rPr>
  </w:style>
  <w:style w:type="character" w:styleId="Heading3Char1" w:customStyle="1">
    <w:name w:val="Heading 3 Char1"/>
    <w:basedOn w:val="DefaultParagraphFont"/>
    <w:link w:val="Heading3"/>
    <w:uiPriority w:val="99"/>
    <w:qFormat/>
    <w:locked/>
    <w:rsid w:val="0031645b"/>
    <w:rPr>
      <w:rFonts w:ascii="Times New Roman" w:hAnsi="Times New Roman" w:cs="Times New Roman"/>
      <w:b/>
      <w:bCs/>
      <w:sz w:val="26"/>
      <w:szCs w:val="26"/>
    </w:rPr>
  </w:style>
  <w:style w:type="character" w:styleId="Style5" w:customStyle="1">
    <w:name w:val="Абзац Знак"/>
    <w:link w:val="a0"/>
    <w:uiPriority w:val="99"/>
    <w:qFormat/>
    <w:locked/>
    <w:rsid w:val="0031645b"/>
    <w:rPr>
      <w:rFonts w:ascii="Times New Roman" w:hAnsi="Times New Roman"/>
      <w:sz w:val="24"/>
      <w:lang w:eastAsia="ru-RU"/>
    </w:rPr>
  </w:style>
  <w:style w:type="character" w:styleId="ListChar1" w:customStyle="1">
    <w:name w:val="List Char1"/>
    <w:link w:val="List"/>
    <w:uiPriority w:val="99"/>
    <w:qFormat/>
    <w:locked/>
    <w:rsid w:val="0031645b"/>
    <w:rPr>
      <w:rFonts w:ascii="Times New Roman" w:hAnsi="Times New Roman"/>
      <w:sz w:val="24"/>
    </w:rPr>
  </w:style>
  <w:style w:type="character" w:styleId="Style6">
    <w:name w:val="Интернет-ссылка"/>
    <w:basedOn w:val="DefaultParagraphFont"/>
    <w:uiPriority w:val="99"/>
    <w:rsid w:val="0031645b"/>
    <w:rPr>
      <w:rFonts w:cs="Times New Roman"/>
      <w:color w:val="0563C1"/>
      <w:u w:val="single"/>
    </w:rPr>
  </w:style>
  <w:style w:type="character" w:styleId="Bodytext" w:customStyle="1">
    <w:name w:val="Body text_"/>
    <w:link w:val="Bodytext1"/>
    <w:uiPriority w:val="99"/>
    <w:qFormat/>
    <w:locked/>
    <w:rsid w:val="00792c1c"/>
    <w:rPr>
      <w:shd w:fill="FFFFFF" w:val="clear"/>
    </w:rPr>
  </w:style>
  <w:style w:type="character" w:styleId="Style7">
    <w:name w:val="Выделение"/>
    <w:basedOn w:val="DefaultParagraphFont"/>
    <w:uiPriority w:val="99"/>
    <w:qFormat/>
    <w:rsid w:val="00fc6710"/>
    <w:rPr>
      <w:rFonts w:cs="Times New Roman"/>
      <w:i/>
    </w:rPr>
  </w:style>
  <w:style w:type="character" w:styleId="BodyText2Char" w:customStyle="1">
    <w:name w:val="Body Text 2 Char"/>
    <w:basedOn w:val="DefaultParagraphFont"/>
    <w:link w:val="BodyText2"/>
    <w:uiPriority w:val="99"/>
    <w:qFormat/>
    <w:locked/>
    <w:rsid w:val="00e07c5e"/>
    <w:rPr>
      <w:rFonts w:ascii="Calibri" w:hAnsi="Calibri" w:eastAsia="Times New Roman" w:cs="Times New Roman"/>
    </w:rPr>
  </w:style>
  <w:style w:type="character" w:styleId="Strong">
    <w:name w:val="Strong"/>
    <w:basedOn w:val="DefaultParagraphFont"/>
    <w:uiPriority w:val="99"/>
    <w:qFormat/>
    <w:rsid w:val="009634ba"/>
    <w:rPr>
      <w:rFonts w:cs="Times New Roman"/>
      <w:b/>
    </w:rPr>
  </w:style>
  <w:style w:type="character" w:styleId="BodyTextIndentChar" w:customStyle="1">
    <w:name w:val="Body Text Indent Char"/>
    <w:basedOn w:val="DefaultParagraphFont"/>
    <w:link w:val="BodyTextIndent"/>
    <w:uiPriority w:val="99"/>
    <w:qFormat/>
    <w:locked/>
    <w:rsid w:val="00a4417f"/>
    <w:rPr>
      <w:rFonts w:ascii="Times New Roman" w:hAnsi="Times New Roman" w:cs="Times New Roman"/>
      <w:sz w:val="24"/>
      <w:szCs w:val="24"/>
      <w:lang w:eastAsia="ru-RU"/>
    </w:rPr>
  </w:style>
  <w:style w:type="character" w:styleId="Annotationreference">
    <w:name w:val="annotation reference"/>
    <w:basedOn w:val="DefaultParagraphFont"/>
    <w:uiPriority w:val="99"/>
    <w:semiHidden/>
    <w:qFormat/>
    <w:rsid w:val="00a75ba2"/>
    <w:rPr>
      <w:rFonts w:cs="Times New Roman"/>
      <w:sz w:val="16"/>
      <w:szCs w:val="16"/>
    </w:rPr>
  </w:style>
  <w:style w:type="character" w:styleId="CommentTextChar" w:customStyle="1">
    <w:name w:val="Comment Text Char"/>
    <w:basedOn w:val="DefaultParagraphFont"/>
    <w:link w:val="CommentText"/>
    <w:uiPriority w:val="99"/>
    <w:semiHidden/>
    <w:qFormat/>
    <w:locked/>
    <w:rsid w:val="00a75ba2"/>
    <w:rPr>
      <w:rFonts w:cs="Times New Roman"/>
      <w:sz w:val="20"/>
      <w:szCs w:val="20"/>
    </w:rPr>
  </w:style>
  <w:style w:type="character" w:styleId="CommentSubjectChar" w:customStyle="1">
    <w:name w:val="Comment Subject Char"/>
    <w:basedOn w:val="CommentTextChar"/>
    <w:link w:val="CommentSubject"/>
    <w:uiPriority w:val="99"/>
    <w:semiHidden/>
    <w:qFormat/>
    <w:locked/>
    <w:rsid w:val="00a75ba2"/>
    <w:rPr>
      <w:b/>
      <w:bCs/>
    </w:rPr>
  </w:style>
  <w:style w:type="character" w:styleId="BalloonTextChar" w:customStyle="1">
    <w:name w:val="Balloon Text Char"/>
    <w:basedOn w:val="DefaultParagraphFont"/>
    <w:link w:val="BalloonText"/>
    <w:uiPriority w:val="99"/>
    <w:semiHidden/>
    <w:qFormat/>
    <w:locked/>
    <w:rsid w:val="00a75ba2"/>
    <w:rPr>
      <w:rFonts w:ascii="Segoe UI" w:hAnsi="Segoe UI" w:cs="Segoe UI"/>
      <w:sz w:val="18"/>
      <w:szCs w:val="18"/>
    </w:rPr>
  </w:style>
  <w:style w:type="character" w:styleId="ListParagraphChar" w:customStyle="1">
    <w:name w:val="List Paragraph Char"/>
    <w:link w:val="ListParagraph"/>
    <w:uiPriority w:val="99"/>
    <w:qFormat/>
    <w:locked/>
    <w:rsid w:val="00411f95"/>
    <w:rPr/>
  </w:style>
  <w:style w:type="character" w:styleId="HeaderChar" w:customStyle="1">
    <w:name w:val="Header Char"/>
    <w:basedOn w:val="DefaultParagraphFont"/>
    <w:link w:val="Header"/>
    <w:uiPriority w:val="99"/>
    <w:qFormat/>
    <w:locked/>
    <w:rsid w:val="00e126cd"/>
    <w:rPr>
      <w:rFonts w:cs="Times New Roman"/>
    </w:rPr>
  </w:style>
  <w:style w:type="character" w:styleId="Heading3Char2" w:customStyle="1">
    <w:name w:val="Heading 3 Char2"/>
    <w:basedOn w:val="DefaultParagraphFont"/>
    <w:link w:val="Heading3"/>
    <w:uiPriority w:val="99"/>
    <w:qFormat/>
    <w:locked/>
    <w:rsid w:val="00e126cd"/>
    <w:rPr>
      <w:rFonts w:cs="Times New Roman"/>
    </w:rPr>
  </w:style>
  <w:style w:type="character" w:styleId="NoSpacingChar" w:customStyle="1">
    <w:name w:val="No Spacing Char"/>
    <w:basedOn w:val="DefaultParagraphFont"/>
    <w:link w:val="NoSpacing"/>
    <w:uiPriority w:val="99"/>
    <w:qFormat/>
    <w:locked/>
    <w:rsid w:val="00e126cd"/>
    <w:rPr>
      <w:rFonts w:eastAsia="Times New Roman" w:cs="Times New Roman"/>
      <w:sz w:val="22"/>
      <w:szCs w:val="22"/>
      <w:lang w:val="ru-RU" w:eastAsia="ru-RU" w:bidi="ar-SA"/>
    </w:rPr>
  </w:style>
  <w:style w:type="character" w:styleId="Style8">
    <w:name w:val="Ссылка указателя"/>
    <w:qFormat/>
    <w:rPr/>
  </w:style>
  <w:style w:type="character" w:styleId="Style9">
    <w:name w:val="Без интервала Знак"/>
    <w:qFormat/>
    <w:rPr>
      <w:sz w:val="24"/>
      <w:szCs w:val="24"/>
      <w:lang w:val="ru-RU"/>
    </w:rPr>
  </w:style>
  <w:style w:type="character" w:styleId="21">
    <w:name w:val="Название объекта Знак2"/>
    <w:qFormat/>
    <w:rPr>
      <w:b/>
      <w:bCs/>
      <w:sz w:val="22"/>
      <w:lang w:val="ru-RU"/>
    </w:rPr>
  </w:style>
  <w:style w:type="character" w:styleId="FontStyle74">
    <w:name w:val="Font Style74"/>
    <w:qFormat/>
    <w:rPr>
      <w:rFonts w:ascii="Times New Roman" w:hAnsi="Times New Roman" w:cs="Times New Roman"/>
      <w:sz w:val="20"/>
      <w:szCs w:val="20"/>
    </w:rPr>
  </w:style>
  <w:style w:type="character" w:styleId="Appleconvertedspace">
    <w:name w:val="apple-converted-space"/>
    <w:qFormat/>
    <w:rPr/>
  </w:style>
  <w:style w:type="character" w:styleId="Blk">
    <w:name w:val="blk"/>
    <w:qFormat/>
    <w:rPr/>
  </w:style>
  <w:style w:type="character" w:styleId="11">
    <w:name w:val="Маркированный_1 Знак1"/>
    <w:qFormat/>
    <w:rPr/>
  </w:style>
  <w:style w:type="character" w:styleId="Style10">
    <w:name w:val="Обычный в таблице Знак Знак"/>
    <w:qFormat/>
    <w:rPr>
      <w:sz w:val="24"/>
      <w:szCs w:val="24"/>
      <w:lang w:val="ru-RU" w:bidi="ar-SA"/>
    </w:rPr>
  </w:style>
  <w:style w:type="character" w:styleId="Style11">
    <w:name w:val="ООО  «Институт Территориального Планирования Знак"/>
    <w:qFormat/>
    <w:rPr>
      <w:sz w:val="24"/>
      <w:szCs w:val="24"/>
      <w:lang w:val="ru-RU"/>
    </w:rPr>
  </w:style>
  <w:style w:type="character" w:styleId="Style12">
    <w:name w:val="ТЕКСТ ГРАД Знак"/>
    <w:qFormat/>
    <w:rPr>
      <w:sz w:val="24"/>
      <w:szCs w:val="24"/>
      <w:lang w:val="ru-RU"/>
    </w:rPr>
  </w:style>
  <w:style w:type="character" w:styleId="S1">
    <w:name w:val="S_Обычный Знак"/>
    <w:qFormat/>
    <w:rPr>
      <w:sz w:val="24"/>
      <w:szCs w:val="24"/>
      <w:lang w:val="ru-RU"/>
    </w:rPr>
  </w:style>
  <w:style w:type="character" w:styleId="Style13">
    <w:name w:val="Текст концевой сноски Знак"/>
    <w:qFormat/>
    <w:rPr/>
  </w:style>
  <w:style w:type="character" w:styleId="Style14">
    <w:name w:val="Электронная подпись Знак"/>
    <w:qFormat/>
    <w:rPr>
      <w:rFonts w:ascii="Arial" w:hAnsi="Arial" w:cs="Arial"/>
      <w:spacing w:val="-5"/>
      <w:lang w:val="ru-RU"/>
    </w:rPr>
  </w:style>
  <w:style w:type="character" w:styleId="HTML">
    <w:name w:val="Цитата HTML"/>
    <w:qFormat/>
    <w:rPr>
      <w:i/>
      <w:iCs/>
      <w:lang w:val="ru-RU"/>
    </w:rPr>
  </w:style>
  <w:style w:type="character" w:styleId="HTML1">
    <w:name w:val="Стандартный HTML Знак"/>
    <w:qFormat/>
    <w:rPr>
      <w:rFonts w:ascii="Courier New" w:hAnsi="Courier New" w:cs="Courier New"/>
      <w:spacing w:val="-5"/>
      <w:lang w:val="ru-RU"/>
    </w:rPr>
  </w:style>
  <w:style w:type="character" w:styleId="Style15">
    <w:name w:val="Прощание Знак"/>
    <w:qFormat/>
    <w:rPr>
      <w:rFonts w:ascii="Arial" w:hAnsi="Arial" w:cs="Arial"/>
      <w:spacing w:val="-5"/>
      <w:lang w:val="ru-RU"/>
    </w:rPr>
  </w:style>
  <w:style w:type="character" w:styleId="Style16">
    <w:name w:val="Приветствие Знак"/>
    <w:qFormat/>
    <w:rPr>
      <w:rFonts w:ascii="Arial" w:hAnsi="Arial" w:cs="Arial"/>
      <w:spacing w:val="-5"/>
      <w:lang w:val="ru-RU"/>
    </w:rPr>
  </w:style>
  <w:style w:type="character" w:styleId="Style17">
    <w:name w:val="Подпись Знак"/>
    <w:qFormat/>
    <w:rPr>
      <w:rFonts w:ascii="Arial" w:hAnsi="Arial" w:cs="Arial"/>
      <w:spacing w:val="-5"/>
      <w:lang w:val="ru-RU"/>
    </w:rPr>
  </w:style>
  <w:style w:type="character" w:styleId="HTML2">
    <w:name w:val="Пишущая машинка HTML"/>
    <w:qFormat/>
    <w:rPr>
      <w:rFonts w:ascii="Courier New" w:hAnsi="Courier New" w:cs="Courier New"/>
      <w:sz w:val="20"/>
      <w:szCs w:val="20"/>
      <w:lang w:val="ru-RU"/>
    </w:rPr>
  </w:style>
  <w:style w:type="character" w:styleId="HTML3">
    <w:name w:val="Переменный HTML"/>
    <w:qFormat/>
    <w:rPr>
      <w:i/>
      <w:iCs/>
      <w:lang w:val="ru-RU"/>
    </w:rPr>
  </w:style>
  <w:style w:type="character" w:styleId="HTML4">
    <w:name w:val="Определение HTML"/>
    <w:qFormat/>
    <w:rPr>
      <w:i/>
      <w:iCs/>
      <w:lang w:val="ru-RU"/>
    </w:rPr>
  </w:style>
  <w:style w:type="character" w:styleId="HTML5">
    <w:name w:val="Образец HTML"/>
    <w:qFormat/>
    <w:rPr>
      <w:rFonts w:ascii="Courier New" w:hAnsi="Courier New" w:cs="Courier New"/>
      <w:lang w:val="ru-RU"/>
    </w:rPr>
  </w:style>
  <w:style w:type="character" w:styleId="22">
    <w:name w:val="Красная строка 2 Знак"/>
    <w:qFormat/>
    <w:rPr>
      <w:rFonts w:ascii="Arial" w:hAnsi="Arial" w:cs="Times New Roman"/>
      <w:spacing w:val="-5"/>
      <w:sz w:val="24"/>
      <w:szCs w:val="24"/>
      <w:lang w:val="ru-RU"/>
    </w:rPr>
  </w:style>
  <w:style w:type="character" w:styleId="Style18">
    <w:name w:val="Красная строка Знак"/>
    <w:qFormat/>
    <w:rPr>
      <w:rFonts w:ascii="Arial" w:hAnsi="Arial" w:cs="Times New Roman"/>
      <w:spacing w:val="-5"/>
      <w:sz w:val="24"/>
      <w:szCs w:val="24"/>
      <w:lang w:val="ru-RU"/>
    </w:rPr>
  </w:style>
  <w:style w:type="character" w:styleId="HTML6">
    <w:name w:val="Код HTML"/>
    <w:qFormat/>
    <w:rPr>
      <w:rFonts w:ascii="Courier New" w:hAnsi="Courier New" w:cs="Courier New"/>
      <w:sz w:val="20"/>
      <w:szCs w:val="20"/>
      <w:lang w:val="ru-RU"/>
    </w:rPr>
  </w:style>
  <w:style w:type="character" w:styleId="HTML7">
    <w:name w:val="Клавиатура HTML"/>
    <w:qFormat/>
    <w:rPr>
      <w:rFonts w:ascii="Courier New" w:hAnsi="Courier New" w:cs="Courier New"/>
      <w:sz w:val="20"/>
      <w:szCs w:val="20"/>
      <w:lang w:val="ru-RU"/>
    </w:rPr>
  </w:style>
  <w:style w:type="character" w:styleId="Style19">
    <w:name w:val="Заголовок записки Знак"/>
    <w:qFormat/>
    <w:rPr>
      <w:rFonts w:ascii="Arial" w:hAnsi="Arial" w:cs="Arial"/>
      <w:spacing w:val="-5"/>
      <w:lang w:val="ru-RU"/>
    </w:rPr>
  </w:style>
  <w:style w:type="character" w:styleId="Style20">
    <w:name w:val="Дата Знак"/>
    <w:qFormat/>
    <w:rPr>
      <w:rFonts w:ascii="Arial" w:hAnsi="Arial" w:cs="Arial"/>
      <w:spacing w:val="-5"/>
      <w:lang w:val="ru-RU"/>
    </w:rPr>
  </w:style>
  <w:style w:type="character" w:styleId="HTML8">
    <w:name w:val="Акроним HTML"/>
    <w:qFormat/>
    <w:rPr>
      <w:lang w:val="ru-RU"/>
    </w:rPr>
  </w:style>
  <w:style w:type="character" w:styleId="HTML9">
    <w:name w:val="Адрес HTML Знак"/>
    <w:qFormat/>
    <w:rPr>
      <w:rFonts w:ascii="Arial" w:hAnsi="Arial" w:cs="Arial"/>
      <w:i/>
      <w:iCs/>
      <w:spacing w:val="-5"/>
      <w:lang w:val="ru-RU"/>
    </w:rPr>
  </w:style>
  <w:style w:type="character" w:styleId="Style21">
    <w:name w:val="Шапка Знак"/>
    <w:qFormat/>
    <w:rPr>
      <w:rFonts w:ascii="Arial" w:hAnsi="Arial" w:cs="Arial"/>
      <w:sz w:val="22"/>
      <w:szCs w:val="22"/>
      <w:lang w:val="ru-RU"/>
    </w:rPr>
  </w:style>
  <w:style w:type="character" w:styleId="31">
    <w:name w:val="Основной текст 3 Знак"/>
    <w:qFormat/>
    <w:rPr>
      <w:sz w:val="16"/>
      <w:szCs w:val="16"/>
      <w:lang w:val="ru-RU"/>
    </w:rPr>
  </w:style>
  <w:style w:type="character" w:styleId="Style22">
    <w:name w:val="Текст сноски Знак"/>
    <w:qFormat/>
    <w:rPr>
      <w:rFonts w:ascii="Arial" w:hAnsi="Arial" w:cs="Arial"/>
      <w:lang w:val="ru-RU"/>
    </w:rPr>
  </w:style>
  <w:style w:type="character" w:styleId="Style23">
    <w:name w:val="Название книги"/>
    <w:qFormat/>
    <w:rPr>
      <w:rFonts w:ascii="Cambria" w:hAnsi="Cambria" w:eastAsia="Times New Roman" w:cs="Times New Roman"/>
      <w:b/>
      <w:bCs/>
      <w:i/>
      <w:iCs/>
      <w:color w:val="000000"/>
    </w:rPr>
  </w:style>
  <w:style w:type="character" w:styleId="Style24">
    <w:name w:val="Сильная ссылка"/>
    <w:qFormat/>
    <w:rPr>
      <w:b/>
      <w:bCs/>
      <w:color w:val="76923C"/>
      <w:u w:val="single"/>
    </w:rPr>
  </w:style>
  <w:style w:type="character" w:styleId="Style25">
    <w:name w:val="Слабая ссылка"/>
    <w:qFormat/>
    <w:rPr>
      <w:color w:val="000000"/>
      <w:u w:val="single"/>
    </w:rPr>
  </w:style>
  <w:style w:type="character" w:styleId="Style26">
    <w:name w:val="Сильное выделение"/>
    <w:qFormat/>
    <w:rPr>
      <w:b/>
      <w:bCs/>
      <w:i/>
      <w:iCs/>
      <w:color w:val="4F81BD"/>
      <w:sz w:val="22"/>
      <w:szCs w:val="22"/>
    </w:rPr>
  </w:style>
  <w:style w:type="character" w:styleId="Style27">
    <w:name w:val="Слабое выделение"/>
    <w:qFormat/>
    <w:rPr>
      <w:i/>
      <w:iCs/>
      <w:color w:val="5A5A5A"/>
    </w:rPr>
  </w:style>
  <w:style w:type="character" w:styleId="Style28">
    <w:name w:val="Выделенная цитата Знак"/>
    <w:qFormat/>
    <w:rPr>
      <w:rFonts w:ascii="Cambria" w:hAnsi="Cambria" w:cs="Cambria"/>
      <w:i/>
      <w:iCs/>
      <w:color w:val="F4F4F4"/>
      <w:sz w:val="24"/>
      <w:szCs w:val="24"/>
      <w:shd w:fill="4F81BD" w:val="clear"/>
      <w:lang w:val="ru-RU"/>
    </w:rPr>
  </w:style>
  <w:style w:type="character" w:styleId="23">
    <w:name w:val="Цитата 2 Знак"/>
    <w:qFormat/>
    <w:rPr>
      <w:rFonts w:ascii="Cambria" w:hAnsi="Cambria" w:cs="Cambria"/>
      <w:i/>
      <w:iCs/>
      <w:color w:val="5A5A5A"/>
      <w:sz w:val="24"/>
      <w:szCs w:val="24"/>
      <w:lang w:val="ru-RU"/>
    </w:rPr>
  </w:style>
  <w:style w:type="character" w:styleId="Style29">
    <w:name w:val="Подзаголовок Знак"/>
    <w:qFormat/>
    <w:rPr>
      <w:i/>
      <w:iCs/>
      <w:sz w:val="24"/>
      <w:szCs w:val="24"/>
      <w:lang w:val="ru-RU"/>
    </w:rPr>
  </w:style>
  <w:style w:type="character" w:styleId="Style30">
    <w:name w:val="Знак примечания"/>
    <w:qFormat/>
    <w:rPr>
      <w:sz w:val="16"/>
      <w:szCs w:val="16"/>
    </w:rPr>
  </w:style>
  <w:style w:type="character" w:styleId="Style31">
    <w:name w:val="Тема примечания Знак"/>
    <w:qFormat/>
    <w:rPr>
      <w:b/>
      <w:bCs/>
    </w:rPr>
  </w:style>
  <w:style w:type="character" w:styleId="Style32">
    <w:name w:val="Текст примечания Знак"/>
    <w:qFormat/>
    <w:rPr/>
  </w:style>
  <w:style w:type="character" w:styleId="Style33">
    <w:name w:val="Табличный_нумерованный Знак"/>
    <w:qFormat/>
    <w:rPr>
      <w:sz w:val="22"/>
      <w:szCs w:val="22"/>
      <w:lang w:val="ru-RU"/>
    </w:rPr>
  </w:style>
  <w:style w:type="character" w:styleId="91">
    <w:name w:val="Заголовок 9 Знак"/>
    <w:qFormat/>
    <w:rPr>
      <w:rFonts w:ascii="Arial" w:hAnsi="Arial" w:cs="Arial"/>
      <w:sz w:val="22"/>
      <w:szCs w:val="22"/>
    </w:rPr>
  </w:style>
  <w:style w:type="character" w:styleId="81">
    <w:name w:val="Заголовок 8 Знак"/>
    <w:qFormat/>
    <w:rPr>
      <w:i/>
      <w:iCs/>
      <w:sz w:val="24"/>
      <w:szCs w:val="24"/>
      <w:lang w:val="ru-RU"/>
    </w:rPr>
  </w:style>
  <w:style w:type="character" w:styleId="71">
    <w:name w:val="Заголовок 7 Знак"/>
    <w:qFormat/>
    <w:rPr>
      <w:sz w:val="24"/>
      <w:szCs w:val="24"/>
    </w:rPr>
  </w:style>
  <w:style w:type="character" w:styleId="Style34">
    <w:name w:val="Список Знак"/>
    <w:qFormat/>
    <w:rPr>
      <w:sz w:val="24"/>
      <w:szCs w:val="24"/>
      <w:lang w:val="ru-RU"/>
    </w:rPr>
  </w:style>
  <w:style w:type="character" w:styleId="Style35">
    <w:name w:val="Текст выноски Знак"/>
    <w:qFormat/>
    <w:rPr>
      <w:rFonts w:ascii="Tahoma" w:hAnsi="Tahoma" w:cs="Tahoma"/>
      <w:sz w:val="16"/>
      <w:szCs w:val="16"/>
    </w:rPr>
  </w:style>
  <w:style w:type="character" w:styleId="Style36">
    <w:name w:val="Схема документа Знак"/>
    <w:qFormat/>
    <w:rPr>
      <w:rFonts w:ascii="Tahoma" w:hAnsi="Tahoma" w:cs="Tahoma"/>
      <w:sz w:val="16"/>
      <w:szCs w:val="16"/>
    </w:rPr>
  </w:style>
  <w:style w:type="character" w:styleId="Style37">
    <w:name w:val="Верхний колонтитул Знак"/>
    <w:qFormat/>
    <w:rPr>
      <w:rFonts w:cs="Times New Roman"/>
      <w:sz w:val="20"/>
      <w:szCs w:val="20"/>
    </w:rPr>
  </w:style>
  <w:style w:type="character" w:styleId="32">
    <w:name w:val="Основной текст с отступом 3 Знак"/>
    <w:qFormat/>
    <w:rPr>
      <w:rFonts w:cs="Times New Roman"/>
      <w:sz w:val="16"/>
      <w:szCs w:val="16"/>
      <w:lang w:val="ru-RU"/>
    </w:rPr>
  </w:style>
  <w:style w:type="character" w:styleId="Style38">
    <w:name w:val="Основной текст Знак"/>
    <w:qFormat/>
    <w:rPr>
      <w:rFonts w:cs="Times New Roman"/>
      <w:sz w:val="24"/>
      <w:szCs w:val="24"/>
      <w:lang w:val="ru-RU"/>
    </w:rPr>
  </w:style>
  <w:style w:type="character" w:styleId="24">
    <w:name w:val="Основной текст с отступом 2 Знак"/>
    <w:qFormat/>
    <w:rPr>
      <w:rFonts w:cs="Times New Roman"/>
      <w:sz w:val="20"/>
      <w:szCs w:val="20"/>
    </w:rPr>
  </w:style>
  <w:style w:type="character" w:styleId="Style39">
    <w:name w:val="Цветовое выделение"/>
    <w:qFormat/>
    <w:rPr>
      <w:b/>
      <w:color w:val="000080"/>
    </w:rPr>
  </w:style>
  <w:style w:type="character" w:styleId="25">
    <w:name w:val="Основной текст 2 Знак"/>
    <w:qFormat/>
    <w:rPr>
      <w:rFonts w:cs="Times New Roman"/>
      <w:sz w:val="24"/>
      <w:szCs w:val="24"/>
      <w:lang w:val="ru-RU"/>
    </w:rPr>
  </w:style>
  <w:style w:type="character" w:styleId="Style40">
    <w:name w:val="Основной текст с отступом Знак"/>
    <w:qFormat/>
    <w:rPr>
      <w:rFonts w:cs="Times New Roman"/>
      <w:sz w:val="28"/>
      <w:szCs w:val="28"/>
      <w:lang w:val="ru-RU"/>
    </w:rPr>
  </w:style>
  <w:style w:type="character" w:styleId="Style41">
    <w:name w:val="Нижний колонтитул Знак"/>
    <w:qFormat/>
    <w:rPr>
      <w:rFonts w:cs="Times New Roman"/>
      <w:sz w:val="20"/>
      <w:szCs w:val="20"/>
    </w:rPr>
  </w:style>
  <w:style w:type="character" w:styleId="Style42">
    <w:name w:val="Текст Знак"/>
    <w:qFormat/>
    <w:rPr>
      <w:rFonts w:ascii="Courier New" w:hAnsi="Courier New" w:cs="Courier New"/>
      <w:sz w:val="20"/>
      <w:szCs w:val="20"/>
    </w:rPr>
  </w:style>
  <w:style w:type="character" w:styleId="Style43">
    <w:name w:val="Заголовок Знак"/>
    <w:qFormat/>
    <w:rPr>
      <w:rFonts w:ascii="Cambria" w:hAnsi="Cambria" w:eastAsia="Times New Roman" w:cs="Cambria"/>
      <w:b/>
      <w:bCs/>
      <w:kern w:val="2"/>
      <w:sz w:val="32"/>
      <w:szCs w:val="32"/>
    </w:rPr>
  </w:style>
  <w:style w:type="character" w:styleId="61">
    <w:name w:val="Заголовок 6 Знак"/>
    <w:qFormat/>
    <w:rPr>
      <w:rFonts w:ascii="Calibri" w:hAnsi="Calibri" w:eastAsia="Times New Roman" w:cs="Calibri"/>
      <w:b/>
      <w:bCs/>
    </w:rPr>
  </w:style>
  <w:style w:type="character" w:styleId="51">
    <w:name w:val="Заголовок 5 Знак"/>
    <w:qFormat/>
    <w:rPr>
      <w:rFonts w:ascii="Calibri" w:hAnsi="Calibri" w:eastAsia="Times New Roman" w:cs="Calibri"/>
      <w:b/>
      <w:bCs/>
      <w:i/>
      <w:iCs/>
      <w:sz w:val="26"/>
      <w:szCs w:val="26"/>
    </w:rPr>
  </w:style>
  <w:style w:type="character" w:styleId="41">
    <w:name w:val="Заголовок 4 Знак"/>
    <w:qFormat/>
    <w:rPr>
      <w:rFonts w:ascii="Calibri" w:hAnsi="Calibri" w:eastAsia="Times New Roman" w:cs="Calibri"/>
      <w:b/>
      <w:bCs/>
      <w:sz w:val="28"/>
      <w:szCs w:val="28"/>
    </w:rPr>
  </w:style>
  <w:style w:type="character" w:styleId="33">
    <w:name w:val="Заголовок 3 Знак"/>
    <w:qFormat/>
    <w:rPr>
      <w:b/>
      <w:i/>
      <w:sz w:val="24"/>
      <w:szCs w:val="24"/>
    </w:rPr>
  </w:style>
  <w:style w:type="character" w:styleId="26">
    <w:name w:val="Заголовок 2 Знак"/>
    <w:qFormat/>
    <w:rPr>
      <w:b/>
      <w:bCs/>
      <w:i/>
      <w:sz w:val="24"/>
      <w:szCs w:val="24"/>
    </w:rPr>
  </w:style>
  <w:style w:type="character" w:styleId="12">
    <w:name w:val="Заголовок 1 Знак"/>
    <w:qFormat/>
    <w:rPr>
      <w:b/>
      <w:sz w:val="24"/>
      <w:szCs w:val="24"/>
    </w:rPr>
  </w:style>
  <w:style w:type="character" w:styleId="Style44">
    <w:name w:val="Основной шрифт абзаца"/>
    <w:qFormat/>
    <w:rPr/>
  </w:style>
  <w:style w:type="character" w:styleId="WW8Num29z1">
    <w:name w:val="WW8Num29z1"/>
    <w:qFormat/>
    <w:rPr>
      <w:rFonts w:ascii="Courier New" w:hAnsi="Courier New" w:cs="Courier New"/>
    </w:rPr>
  </w:style>
  <w:style w:type="character" w:styleId="WW8Num29z0">
    <w:name w:val="WW8Num29z0"/>
    <w:qFormat/>
    <w:rPr>
      <w:sz w:val="24"/>
    </w:rPr>
  </w:style>
  <w:style w:type="character" w:styleId="WW8Num28z1">
    <w:name w:val="WW8Num28z1"/>
    <w:qFormat/>
    <w:rPr>
      <w:rFonts w:cs="Times New Roman"/>
    </w:rPr>
  </w:style>
  <w:style w:type="character" w:styleId="WW8Num28z0">
    <w:name w:val="WW8Num28z0"/>
    <w:qFormat/>
    <w:rPr>
      <w:rFonts w:ascii="Times New Roman" w:hAnsi="Times New Roman" w:cs="Times New Roman"/>
      <w:b/>
      <w:bCs/>
    </w:rPr>
  </w:style>
  <w:style w:type="character" w:styleId="WW8Num27z1">
    <w:name w:val="WW8Num27z1"/>
    <w:qFormat/>
    <w:rPr>
      <w:rFonts w:ascii="Courier New" w:hAnsi="Courier New" w:cs="Courier New"/>
    </w:rPr>
  </w:style>
  <w:style w:type="character" w:styleId="WW8Num26z4">
    <w:name w:val="WW8Num26z4"/>
    <w:qFormat/>
    <w:rPr/>
  </w:style>
  <w:style w:type="character" w:styleId="WW8Num26z3">
    <w:name w:val="WW8Num26z3"/>
    <w:qFormat/>
    <w:rPr>
      <w:rFonts w:ascii="Times New Roman" w:hAnsi="Times New Roman" w:cs="Times New Roman"/>
      <w:bCs w:val="false"/>
      <w:i w:val="false"/>
      <w:iCs w:val="false"/>
      <w:caps w:val="false"/>
      <w:smallCaps w:val="false"/>
      <w:strike w:val="false"/>
      <w:dstrike w:val="false"/>
      <w:outline w:val="false"/>
      <w:shadow w:val="false"/>
      <w:vanish w:val="false"/>
      <w:spacing w:val="0"/>
      <w:kern w:val="0"/>
      <w:sz w:val="24"/>
      <w:u w:val="none"/>
      <w:em w:val="none"/>
    </w:rPr>
  </w:style>
  <w:style w:type="character" w:styleId="WW8Num26z1">
    <w:name w:val="WW8Num26z1"/>
    <w:qFormat/>
    <w:rPr>
      <w:rFonts w:ascii="Times New Roman" w:hAnsi="Times New Roman" w:cs="Times New Roman"/>
      <w:b/>
      <w:i w:val="false"/>
      <w:sz w:val="24"/>
      <w:szCs w:val="24"/>
    </w:rPr>
  </w:style>
  <w:style w:type="character" w:styleId="WW8Num26z0">
    <w:name w:val="WW8Num26z0"/>
    <w:qFormat/>
    <w:rPr>
      <w:b w:val="false"/>
      <w:i/>
      <w:iCs w:val="false"/>
      <w:caps w:val="false"/>
      <w:smallCaps w:val="false"/>
      <w:strike w:val="false"/>
      <w:dstrike w:val="false"/>
      <w:outline w:val="false"/>
      <w:shadow w:val="false"/>
      <w:vanish w:val="false"/>
      <w:spacing w:val="0"/>
      <w:kern w:val="0"/>
      <w:sz w:val="24"/>
      <w:szCs w:val="24"/>
      <w:u w:val="none"/>
      <w:em w:val="none"/>
    </w:rPr>
  </w:style>
  <w:style w:type="character" w:styleId="WW8Num25z1">
    <w:name w:val="WW8Num25z1"/>
    <w:qFormat/>
    <w:rPr>
      <w:rFonts w:ascii="Courier New" w:hAnsi="Courier New" w:cs="Courier New"/>
    </w:rPr>
  </w:style>
  <w:style w:type="character" w:styleId="WW8Num24z1">
    <w:name w:val="WW8Num24z1"/>
    <w:qFormat/>
    <w:rPr>
      <w:rFonts w:cs="Times New Roman"/>
    </w:rPr>
  </w:style>
  <w:style w:type="character" w:styleId="WW8Num24z0">
    <w:name w:val="WW8Num24z0"/>
    <w:qFormat/>
    <w:rPr>
      <w:rFonts w:cs="Times New Roman"/>
      <w:b/>
      <w:bCs/>
    </w:rPr>
  </w:style>
  <w:style w:type="character" w:styleId="WW8Num23z4">
    <w:name w:val="WW8Num23z4"/>
    <w:qFormat/>
    <w:rPr>
      <w:rFonts w:ascii="Courier New" w:hAnsi="Courier New" w:cs="Courier New"/>
    </w:rPr>
  </w:style>
  <w:style w:type="character" w:styleId="WW8Num23z1">
    <w:name w:val="WW8Num23z1"/>
    <w:qFormat/>
    <w:rPr>
      <w:rFonts w:cs="Times New Roman"/>
    </w:rPr>
  </w:style>
  <w:style w:type="character" w:styleId="WW8Num22z1">
    <w:name w:val="WW8Num22z1"/>
    <w:qFormat/>
    <w:rPr>
      <w:rFonts w:ascii="Times New Roman" w:hAnsi="Times New Roman" w:cs="Times New Roman"/>
    </w:rPr>
  </w:style>
  <w:style w:type="character" w:styleId="WW8Num21z1">
    <w:name w:val="WW8Num21z1"/>
    <w:qFormat/>
    <w:rPr>
      <w:rFonts w:ascii="Courier New" w:hAnsi="Courier New" w:cs="Courier New"/>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3">
    <w:name w:val="WW8Num19z3"/>
    <w:qFormat/>
    <w:rPr/>
  </w:style>
  <w:style w:type="character" w:styleId="WW8Num19z2">
    <w:name w:val="WW8Num19z2"/>
    <w:qFormat/>
    <w:rPr/>
  </w:style>
  <w:style w:type="character" w:styleId="WW8Num19z1">
    <w:name w:val="WW8Num19z1"/>
    <w:qFormat/>
    <w:rPr/>
  </w:style>
  <w:style w:type="character" w:styleId="WW8Num18z1">
    <w:name w:val="WW8Num18z1"/>
    <w:qFormat/>
    <w:rPr>
      <w:rFonts w:ascii="Courier New" w:hAnsi="Courier New" w:cs="Courier New"/>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6z3">
    <w:name w:val="WW8Num16z3"/>
    <w:qFormat/>
    <w:rPr>
      <w:rFonts w:cs="Times New Roman"/>
    </w:rPr>
  </w:style>
  <w:style w:type="character" w:styleId="WW8Num14z8">
    <w:name w:val="WW8Num14z8"/>
    <w:qFormat/>
    <w:rPr/>
  </w:style>
  <w:style w:type="character" w:styleId="WW8Num14z7">
    <w:name w:val="WW8Num14z7"/>
    <w:qFormat/>
    <w:rPr/>
  </w:style>
  <w:style w:type="character" w:styleId="WW8Num14z6">
    <w:name w:val="WW8Num14z6"/>
    <w:qFormat/>
    <w:rPr/>
  </w:style>
  <w:style w:type="character" w:styleId="WW8Num14z5">
    <w:name w:val="WW8Num14z5"/>
    <w:qFormat/>
    <w:rPr/>
  </w:style>
  <w:style w:type="character" w:styleId="WW8Num14z4">
    <w:name w:val="WW8Num14z4"/>
    <w:qFormat/>
    <w:rPr/>
  </w:style>
  <w:style w:type="character" w:styleId="WW8Num14z3">
    <w:name w:val="WW8Num14z3"/>
    <w:qFormat/>
    <w:rPr/>
  </w:style>
  <w:style w:type="character" w:styleId="WW8Num14z2">
    <w:name w:val="WW8Num14z2"/>
    <w:qFormat/>
    <w:rPr/>
  </w:style>
  <w:style w:type="character" w:styleId="WW8Num14z1">
    <w:name w:val="WW8Num14z1"/>
    <w:qFormat/>
    <w:rPr/>
  </w:style>
  <w:style w:type="character" w:styleId="WW8Num12z1">
    <w:name w:val="WW8Num12z1"/>
    <w:qFormat/>
    <w:rPr>
      <w:rFonts w:ascii="Courier New" w:hAnsi="Courier New" w:cs="Courier New"/>
    </w:rPr>
  </w:style>
  <w:style w:type="character" w:styleId="WW8Num11z1">
    <w:name w:val="WW8Num11z1"/>
    <w:qFormat/>
    <w:rPr>
      <w:rFonts w:ascii="Courier New" w:hAnsi="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9z1">
    <w:name w:val="WW8Num9z1"/>
    <w:qFormat/>
    <w:rPr>
      <w:rFonts w:cs="Times New Roman"/>
    </w:rPr>
  </w:style>
  <w:style w:type="character" w:styleId="WW8Num8z1">
    <w:name w:val="WW8Num8z1"/>
    <w:qFormat/>
    <w:rPr>
      <w:rFonts w:ascii="Courier New" w:hAnsi="Courier New" w:cs="Courier New"/>
    </w:rPr>
  </w:style>
  <w:style w:type="character" w:styleId="WW8Num7z4">
    <w:name w:val="WW8Num7z4"/>
    <w:qFormat/>
    <w:rPr/>
  </w:style>
  <w:style w:type="character" w:styleId="WW8Num7z3">
    <w:name w:val="WW8Num7z3"/>
    <w:qFormat/>
    <w:rPr>
      <w:rFonts w:ascii="Times New Roman" w:hAnsi="Times New Roman" w:cs="Times New Roman"/>
      <w:b/>
      <w:i w:val="false"/>
      <w:color w:val="000000"/>
      <w:spacing w:val="0"/>
      <w:w w:val="100"/>
      <w:sz w:val="24"/>
    </w:rPr>
  </w:style>
  <w:style w:type="character" w:styleId="WW8Num7z2">
    <w:name w:val="WW8Num7z2"/>
    <w:qFormat/>
    <w:rPr>
      <w:rFonts w:ascii="Times New Roman" w:hAnsi="Times New Roman" w:cs="Times New Roman"/>
      <w:b/>
      <w:i w:val="false"/>
      <w:color w:val="000000"/>
      <w:sz w:val="26"/>
    </w:rPr>
  </w:style>
  <w:style w:type="character" w:styleId="WW8Num7z1">
    <w:name w:val="WW8Num7z1"/>
    <w:qFormat/>
    <w:rPr>
      <w:rFonts w:ascii="Times New Roman" w:hAnsi="Times New Roman" w:cs="Times New Roman"/>
      <w:b/>
      <w:i w:val="false"/>
      <w:spacing w:val="0"/>
      <w:w w:val="100"/>
      <w:sz w:val="28"/>
      <w:szCs w:val="28"/>
    </w:rPr>
  </w:style>
  <w:style w:type="character" w:styleId="WW8Num6z1">
    <w:name w:val="WW8Num6z1"/>
    <w:qFormat/>
    <w:rPr>
      <w:rFonts w:ascii="Courier New" w:hAnsi="Courier New" w:cs="Courier New"/>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3">
    <w:name w:val="WW8Num3z3"/>
    <w:qFormat/>
    <w:rPr/>
  </w:style>
  <w:style w:type="character" w:styleId="WW8Num3z2">
    <w:name w:val="WW8Num3z2"/>
    <w:qFormat/>
    <w:rPr/>
  </w:style>
  <w:style w:type="character" w:styleId="WW8Num3z1">
    <w:name w:val="WW8Num3z1"/>
    <w:qFormat/>
    <w:rPr/>
  </w:style>
  <w:style w:type="character" w:styleId="WW8Num22z0">
    <w:name w:val="WW8Num22z0"/>
    <w:qFormat/>
    <w:rPr>
      <w:rFonts w:ascii="Times New Roman" w:hAnsi="Times New Roman" w:cs="Times New Roman"/>
      <w:b/>
      <w:bCs/>
    </w:rPr>
  </w:style>
  <w:style w:type="character" w:styleId="WW8Num20z4">
    <w:name w:val="WW8Num20z4"/>
    <w:qFormat/>
    <w:rPr/>
  </w:style>
  <w:style w:type="character" w:styleId="WW8Num20z3">
    <w:name w:val="WW8Num20z3"/>
    <w:qFormat/>
    <w:rPr>
      <w:rFonts w:ascii="Times New Roman" w:hAnsi="Times New Roman" w:cs="Times New Roman"/>
      <w:bCs w:val="false"/>
      <w:i w:val="false"/>
      <w:iCs w:val="false"/>
      <w:caps w:val="false"/>
      <w:smallCaps w:val="false"/>
      <w:strike w:val="false"/>
      <w:dstrike w:val="false"/>
      <w:outline w:val="false"/>
      <w:shadow w:val="false"/>
      <w:vanish w:val="false"/>
      <w:spacing w:val="0"/>
      <w:kern w:val="0"/>
      <w:sz w:val="24"/>
      <w:u w:val="none"/>
      <w:em w:val="none"/>
    </w:rPr>
  </w:style>
  <w:style w:type="character" w:styleId="WW8Num20z1">
    <w:name w:val="WW8Num20z1"/>
    <w:qFormat/>
    <w:rPr>
      <w:rFonts w:ascii="Times New Roman" w:hAnsi="Times New Roman" w:cs="Times New Roman"/>
      <w:b/>
      <w:i w:val="false"/>
      <w:sz w:val="24"/>
      <w:szCs w:val="24"/>
    </w:rPr>
  </w:style>
  <w:style w:type="character" w:styleId="WW8Num20z0">
    <w:name w:val="WW8Num20z0"/>
    <w:qFormat/>
    <w:rPr>
      <w:b w:val="false"/>
      <w:i/>
      <w:iCs w:val="false"/>
      <w:caps w:val="false"/>
      <w:smallCaps w:val="false"/>
      <w:strike w:val="false"/>
      <w:dstrike w:val="false"/>
      <w:outline w:val="false"/>
      <w:shadow w:val="false"/>
      <w:vanish w:val="false"/>
      <w:spacing w:val="0"/>
      <w:kern w:val="0"/>
      <w:sz w:val="24"/>
      <w:szCs w:val="24"/>
      <w:u w:val="none"/>
      <w:em w:val="none"/>
    </w:rPr>
  </w:style>
  <w:style w:type="character" w:styleId="WW8Num18z0">
    <w:name w:val="WW8Num18z0"/>
    <w:qFormat/>
    <w:rPr>
      <w:rFonts w:cs="Times New Roman"/>
      <w:b/>
      <w:bCs/>
    </w:rPr>
  </w:style>
  <w:style w:type="character" w:styleId="WW8Num16z1">
    <w:name w:val="WW8Num16z1"/>
    <w:qFormat/>
    <w:rPr>
      <w:rFonts w:ascii="Times New Roman" w:hAnsi="Times New Roman" w:cs="Times New Roman"/>
    </w:rPr>
  </w:style>
  <w:style w:type="character" w:styleId="WW8Num16z0">
    <w:name w:val="WW8Num16z0"/>
    <w:qFormat/>
    <w:rPr>
      <w:rFonts w:ascii="Times New Roman" w:hAnsi="Times New Roman" w:cs="Times New Roman"/>
      <w:lang w:val="ru-RU"/>
    </w:rPr>
  </w:style>
  <w:style w:type="character" w:styleId="WW8Num15z1">
    <w:name w:val="WW8Num15z1"/>
    <w:qFormat/>
    <w:rPr>
      <w:rFonts w:ascii="Times New Roman" w:hAnsi="Times New Roman" w:cs="Times New Roman"/>
    </w:rPr>
  </w:style>
  <w:style w:type="character" w:styleId="WW8Num15z0">
    <w:name w:val="WW8Num15z0"/>
    <w:qFormat/>
    <w:rPr/>
  </w:style>
  <w:style w:type="character" w:styleId="WW8Num13z3">
    <w:name w:val="WW8Num13z3"/>
    <w:qFormat/>
    <w:rPr>
      <w:rFonts w:cs="Times New Roman"/>
    </w:rPr>
  </w:style>
  <w:style w:type="character" w:styleId="WW8Num13z2">
    <w:name w:val="WW8Num13z2"/>
    <w:qFormat/>
    <w:rPr>
      <w:rFonts w:ascii="Times New Roman" w:hAnsi="Times New Roman" w:cs="Times New Roman"/>
      <w:b/>
      <w:bCs/>
      <w:i w:val="false"/>
      <w:iCs w:val="false"/>
      <w:sz w:val="20"/>
      <w:szCs w:val="20"/>
      <w:u w:val="none"/>
    </w:rPr>
  </w:style>
  <w:style w:type="character" w:styleId="WW8Num13z1">
    <w:name w:val="WW8Num13z1"/>
    <w:qFormat/>
    <w:rPr>
      <w:rFonts w:cs="Times New Roman"/>
      <w:b/>
      <w:bCs/>
      <w:i w:val="false"/>
      <w:iCs w:val="false"/>
      <w:color w:val="000000"/>
    </w:rPr>
  </w:style>
  <w:style w:type="character" w:styleId="WW8Num13z0">
    <w:name w:val="WW8Num13z0"/>
    <w:qFormat/>
    <w:rPr>
      <w:rFonts w:ascii="Times New Roman" w:hAnsi="Times New Roman" w:cs="Times New Roman"/>
    </w:rPr>
  </w:style>
  <w:style w:type="character" w:styleId="WW8Num11z0">
    <w:name w:val="WW8Num11z0"/>
    <w:qFormat/>
    <w:rPr/>
  </w:style>
  <w:style w:type="character" w:styleId="WW8Num10z1">
    <w:name w:val="WW8Num10z1"/>
    <w:qFormat/>
    <w:rPr>
      <w:rFonts w:cs="Times New Roman"/>
      <w:b/>
      <w:bCs/>
    </w:rPr>
  </w:style>
  <w:style w:type="character" w:styleId="WW8Num10z0">
    <w:name w:val="WW8Num10z0"/>
    <w:qFormat/>
    <w:rPr>
      <w:rFonts w:cs="Times New Roman"/>
      <w:b/>
      <w:bCs/>
      <w:i w:val="false"/>
      <w:iCs w:val="false"/>
    </w:rPr>
  </w:style>
  <w:style w:type="character" w:styleId="WW8Num8z0">
    <w:name w:val="WW8Num8z0"/>
    <w:qFormat/>
    <w:rPr/>
  </w:style>
  <w:style w:type="character" w:styleId="WW8Num7z0">
    <w:name w:val="WW8Num7z0"/>
    <w:qFormat/>
    <w:rPr>
      <w:rFonts w:cs="Times New Roman"/>
      <w:b/>
      <w:bCs/>
    </w:rPr>
  </w:style>
  <w:style w:type="character" w:styleId="WW8Num5z4">
    <w:name w:val="WW8Num5z4"/>
    <w:qFormat/>
    <w:rPr/>
  </w:style>
  <w:style w:type="character" w:styleId="WW8Num5z3">
    <w:name w:val="WW8Num5z3"/>
    <w:qFormat/>
    <w:rPr>
      <w:rFonts w:ascii="Times New Roman" w:hAnsi="Times New Roman" w:cs="Times New Roman"/>
      <w:b/>
      <w:i w:val="false"/>
      <w:color w:val="000000"/>
      <w:spacing w:val="0"/>
      <w:w w:val="100"/>
      <w:sz w:val="24"/>
    </w:rPr>
  </w:style>
  <w:style w:type="character" w:styleId="WW8Num5z2">
    <w:name w:val="WW8Num5z2"/>
    <w:qFormat/>
    <w:rPr>
      <w:rFonts w:ascii="Times New Roman" w:hAnsi="Times New Roman" w:cs="Times New Roman"/>
      <w:b/>
      <w:i w:val="false"/>
      <w:color w:val="000000"/>
      <w:sz w:val="26"/>
    </w:rPr>
  </w:style>
  <w:style w:type="character" w:styleId="WW8Num5z1">
    <w:name w:val="WW8Num5z1"/>
    <w:qFormat/>
    <w:rPr>
      <w:rFonts w:ascii="Times New Roman" w:hAnsi="Times New Roman" w:cs="Times New Roman"/>
      <w:b/>
      <w:i w:val="false"/>
      <w:spacing w:val="0"/>
      <w:w w:val="100"/>
      <w:sz w:val="28"/>
      <w:szCs w:val="28"/>
    </w:rPr>
  </w:style>
  <w:style w:type="character" w:styleId="WW8Num5z0">
    <w:name w:val="WW8Num5z0"/>
    <w:qFormat/>
    <w:rPr>
      <w:rFonts w:ascii="Times New Roman" w:hAnsi="Times New Roman" w:cs="Times New Roman"/>
      <w:b w:val="false"/>
      <w:bCs w:val="false"/>
      <w:i w:val="false"/>
      <w:iCs w:val="false"/>
      <w:caps w:val="false"/>
      <w:smallCaps w:val="false"/>
      <w:strike w:val="false"/>
      <w:dstrike w:val="false"/>
      <w:outline w:val="false"/>
      <w:shadow w:val="false"/>
      <w:vanish w:val="false"/>
      <w:spacing w:val="0"/>
      <w:kern w:val="0"/>
      <w:sz w:val="24"/>
      <w:u w:val="none"/>
      <w:em w:val="none"/>
    </w:rPr>
  </w:style>
  <w:style w:type="character" w:styleId="WW8Num3z0">
    <w:name w:val="WW8Num3z0"/>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Style45">
    <w:name w:val="Заголовок"/>
    <w:basedOn w:val="Normal"/>
    <w:next w:val="Style46"/>
    <w:qFormat/>
    <w:pPr>
      <w:keepNext w:val="true"/>
      <w:spacing w:before="240" w:after="120"/>
    </w:pPr>
    <w:rPr>
      <w:rFonts w:ascii="Liberation Sans" w:hAnsi="Liberation Sans" w:eastAsia="Microsoft YaHei" w:cs="Arial"/>
      <w:sz w:val="28"/>
      <w:szCs w:val="28"/>
    </w:rPr>
  </w:style>
  <w:style w:type="paragraph" w:styleId="Style46">
    <w:name w:val="Body Text"/>
    <w:basedOn w:val="Normal"/>
    <w:pPr>
      <w:spacing w:lineRule="auto" w:line="276" w:before="0" w:after="140"/>
    </w:pPr>
    <w:rPr/>
  </w:style>
  <w:style w:type="paragraph" w:styleId="Style47">
    <w:name w:val="List"/>
    <w:basedOn w:val="Normal"/>
    <w:link w:val="ListChar1"/>
    <w:uiPriority w:val="99"/>
    <w:rsid w:val="0031645b"/>
    <w:pPr>
      <w:numPr>
        <w:ilvl w:val="0"/>
        <w:numId w:val="8"/>
      </w:numPr>
      <w:spacing w:lineRule="auto" w:line="240" w:before="0" w:after="60"/>
      <w:ind w:left="1" w:hanging="0"/>
      <w:jc w:val="both"/>
    </w:pPr>
    <w:rPr>
      <w:rFonts w:ascii="Times New Roman" w:hAnsi="Times New Roman" w:eastAsia="Times New Roman"/>
      <w:sz w:val="24"/>
      <w:szCs w:val="24"/>
      <w:lang w:eastAsia="ru-RU"/>
    </w:rPr>
  </w:style>
  <w:style w:type="paragraph" w:styleId="Style48">
    <w:name w:val="Caption"/>
    <w:basedOn w:val="Normal"/>
    <w:qFormat/>
    <w:pPr>
      <w:suppressLineNumbers/>
      <w:spacing w:before="120" w:after="120"/>
    </w:pPr>
    <w:rPr>
      <w:rFonts w:cs="Arial"/>
      <w:i/>
      <w:iCs/>
      <w:sz w:val="24"/>
      <w:szCs w:val="24"/>
    </w:rPr>
  </w:style>
  <w:style w:type="paragraph" w:styleId="Style49">
    <w:name w:val="Указатель"/>
    <w:basedOn w:val="Normal"/>
    <w:qFormat/>
    <w:pPr>
      <w:suppressLineNumbers/>
    </w:pPr>
    <w:rPr>
      <w:rFonts w:cs="Arial"/>
    </w:rPr>
  </w:style>
  <w:style w:type="paragraph" w:styleId="Style50" w:customStyle="1">
    <w:name w:val="Знак Знак Знак"/>
    <w:basedOn w:val="Normal"/>
    <w:uiPriority w:val="99"/>
    <w:qFormat/>
    <w:rsid w:val="0031645b"/>
    <w:pPr>
      <w:spacing w:lineRule="auto" w:line="240" w:beforeAutospacing="1" w:afterAutospacing="1"/>
    </w:pPr>
    <w:rPr>
      <w:rFonts w:ascii="Tahoma" w:hAnsi="Tahoma" w:eastAsia="Times New Roman"/>
      <w:sz w:val="20"/>
      <w:szCs w:val="20"/>
      <w:lang w:val="en-US"/>
    </w:rPr>
  </w:style>
  <w:style w:type="paragraph" w:styleId="13">
    <w:name w:val="TOC 1"/>
    <w:basedOn w:val="Normal"/>
    <w:next w:val="Normal"/>
    <w:autoRedefine/>
    <w:uiPriority w:val="99"/>
    <w:rsid w:val="001f2bf7"/>
    <w:pPr>
      <w:tabs>
        <w:tab w:val="clear" w:pos="709"/>
        <w:tab w:val="left" w:pos="993" w:leader="none"/>
        <w:tab w:val="right" w:pos="9345" w:leader="dot"/>
      </w:tabs>
      <w:spacing w:before="0" w:after="100"/>
      <w:ind w:firstLine="567"/>
      <w:jc w:val="both"/>
    </w:pPr>
    <w:rPr>
      <w:rFonts w:ascii="Times New Roman" w:hAnsi="Times New Roman"/>
      <w:b/>
      <w:caps/>
      <w:sz w:val="24"/>
    </w:rPr>
  </w:style>
  <w:style w:type="paragraph" w:styleId="27">
    <w:name w:val="TOC 2"/>
    <w:basedOn w:val="Normal"/>
    <w:next w:val="Normal"/>
    <w:autoRedefine/>
    <w:uiPriority w:val="99"/>
    <w:rsid w:val="0031645b"/>
    <w:pPr>
      <w:spacing w:before="0" w:after="100"/>
      <w:ind w:left="220" w:hanging="0"/>
    </w:pPr>
    <w:rPr>
      <w:rFonts w:ascii="Times New Roman" w:hAnsi="Times New Roman"/>
      <w:sz w:val="24"/>
    </w:rPr>
  </w:style>
  <w:style w:type="paragraph" w:styleId="34">
    <w:name w:val="TOC 3"/>
    <w:basedOn w:val="Normal"/>
    <w:next w:val="Normal"/>
    <w:autoRedefine/>
    <w:uiPriority w:val="99"/>
    <w:rsid w:val="0031645b"/>
    <w:pPr>
      <w:spacing w:before="0" w:after="100"/>
      <w:ind w:left="440" w:hanging="0"/>
    </w:pPr>
    <w:rPr>
      <w:rFonts w:ascii="Times New Roman" w:hAnsi="Times New Roman"/>
      <w:color w:val="000000"/>
      <w:sz w:val="24"/>
    </w:rPr>
  </w:style>
  <w:style w:type="paragraph" w:styleId="S2" w:customStyle="1">
    <w:name w:val="S_Обычный в таблице"/>
    <w:basedOn w:val="Normal"/>
    <w:link w:val="S0"/>
    <w:uiPriority w:val="99"/>
    <w:qFormat/>
    <w:rsid w:val="0031645b"/>
    <w:pPr>
      <w:spacing w:lineRule="auto" w:line="360" w:before="0" w:after="0"/>
      <w:jc w:val="center"/>
    </w:pPr>
    <w:rPr>
      <w:rFonts w:ascii="Times New Roman" w:hAnsi="Times New Roman" w:eastAsia="Times New Roman"/>
      <w:sz w:val="24"/>
      <w:szCs w:val="24"/>
      <w:lang w:eastAsia="ru-RU"/>
    </w:rPr>
  </w:style>
  <w:style w:type="paragraph" w:styleId="Style51" w:customStyle="1">
    <w:name w:val="Абзац"/>
    <w:basedOn w:val="Normal"/>
    <w:link w:val="a2"/>
    <w:uiPriority w:val="99"/>
    <w:qFormat/>
    <w:rsid w:val="0031645b"/>
    <w:pPr>
      <w:spacing w:lineRule="auto" w:line="240" w:before="120" w:after="60"/>
      <w:ind w:firstLine="567"/>
      <w:jc w:val="both"/>
    </w:pPr>
    <w:rPr>
      <w:rFonts w:ascii="Times New Roman" w:hAnsi="Times New Roman" w:eastAsia="Times New Roman"/>
      <w:sz w:val="24"/>
      <w:szCs w:val="24"/>
      <w:lang w:eastAsia="ru-RU"/>
    </w:rPr>
  </w:style>
  <w:style w:type="paragraph" w:styleId="ListParagraph">
    <w:name w:val="List Paragraph"/>
    <w:basedOn w:val="Normal"/>
    <w:link w:val="ListParagraphChar"/>
    <w:uiPriority w:val="99"/>
    <w:qFormat/>
    <w:rsid w:val="003d3b3a"/>
    <w:pPr>
      <w:spacing w:before="0" w:after="160"/>
      <w:ind w:left="720" w:hanging="0"/>
      <w:contextualSpacing/>
    </w:pPr>
    <w:rPr/>
  </w:style>
  <w:style w:type="paragraph" w:styleId="Style52" w:customStyle="1">
    <w:name w:val="Номер таблицы"/>
    <w:basedOn w:val="Normal"/>
    <w:uiPriority w:val="99"/>
    <w:qFormat/>
    <w:rsid w:val="009e2717"/>
    <w:pPr>
      <w:numPr>
        <w:ilvl w:val="0"/>
        <w:numId w:val="4"/>
      </w:numPr>
      <w:spacing w:lineRule="auto" w:line="360" w:before="0" w:after="0"/>
      <w:jc w:val="right"/>
    </w:pPr>
    <w:rPr>
      <w:rFonts w:ascii="Times New Roman" w:hAnsi="Times New Roman" w:eastAsia="Times New Roman"/>
      <w:sz w:val="24"/>
      <w:szCs w:val="24"/>
      <w:lang w:eastAsia="ru-RU"/>
    </w:rPr>
  </w:style>
  <w:style w:type="paragraph" w:styleId="NormalWeb">
    <w:name w:val="Normal (Web)"/>
    <w:basedOn w:val="Normal"/>
    <w:uiPriority w:val="99"/>
    <w:qFormat/>
    <w:rsid w:val="00d47027"/>
    <w:pPr>
      <w:spacing w:lineRule="auto" w:line="240" w:beforeAutospacing="1" w:afterAutospacing="1"/>
    </w:pPr>
    <w:rPr>
      <w:rFonts w:ascii="Times New Roman" w:hAnsi="Times New Roman" w:eastAsia="Times New Roman"/>
      <w:sz w:val="24"/>
      <w:szCs w:val="24"/>
      <w:lang w:eastAsia="ru-RU"/>
    </w:rPr>
  </w:style>
  <w:style w:type="paragraph" w:styleId="Bodytext1" w:customStyle="1">
    <w:name w:val="Body text1"/>
    <w:basedOn w:val="Normal"/>
    <w:link w:val="Bodytext"/>
    <w:uiPriority w:val="99"/>
    <w:qFormat/>
    <w:rsid w:val="00792c1c"/>
    <w:pPr>
      <w:widowControl w:val="false"/>
      <w:shd w:val="clear" w:color="auto" w:fill="FFFFFF"/>
      <w:spacing w:lineRule="exact" w:line="274" w:before="0" w:after="0"/>
      <w:ind w:hanging="1700"/>
      <w:jc w:val="both"/>
    </w:pPr>
    <w:rPr>
      <w:sz w:val="20"/>
      <w:szCs w:val="20"/>
      <w:shd w:fill="FFFFFF" w:val="clear"/>
      <w:lang w:eastAsia="ru-RU"/>
    </w:rPr>
  </w:style>
  <w:style w:type="paragraph" w:styleId="BodyText2">
    <w:name w:val="Body Text 2"/>
    <w:basedOn w:val="Normal"/>
    <w:link w:val="BodyText2Char"/>
    <w:uiPriority w:val="99"/>
    <w:qFormat/>
    <w:rsid w:val="00e07c5e"/>
    <w:pPr>
      <w:spacing w:lineRule="auto" w:line="480" w:before="0" w:after="120"/>
    </w:pPr>
    <w:rPr/>
  </w:style>
  <w:style w:type="paragraph" w:styleId="Caption">
    <w:name w:val="caption"/>
    <w:basedOn w:val="Normal"/>
    <w:next w:val="Normal"/>
    <w:uiPriority w:val="99"/>
    <w:qFormat/>
    <w:rsid w:val="003d1315"/>
    <w:pPr>
      <w:spacing w:lineRule="auto" w:line="240" w:before="0" w:after="200"/>
    </w:pPr>
    <w:rPr>
      <w:i/>
      <w:iCs/>
      <w:color w:val="44546A"/>
      <w:sz w:val="18"/>
      <w:szCs w:val="18"/>
    </w:rPr>
  </w:style>
  <w:style w:type="paragraph" w:styleId="TOCHeading">
    <w:name w:val="TOC Heading"/>
    <w:basedOn w:val="1"/>
    <w:next w:val="Normal"/>
    <w:uiPriority w:val="99"/>
    <w:qFormat/>
    <w:rsid w:val="000e14f2"/>
    <w:pPr>
      <w:keepLines/>
      <w:pageBreakBefore w:val="false"/>
      <w:numPr>
        <w:ilvl w:val="0"/>
        <w:numId w:val="0"/>
      </w:numPr>
      <w:tabs>
        <w:tab w:val="clear" w:pos="851"/>
      </w:tabs>
      <w:spacing w:lineRule="auto" w:line="259" w:before="240" w:after="0"/>
      <w:ind w:left="-141" w:hanging="0"/>
      <w:jc w:val="left"/>
    </w:pPr>
    <w:rPr>
      <w:rFonts w:ascii="Calibri Light" w:hAnsi="Calibri Light"/>
      <w:b w:val="false"/>
      <w:bCs w:val="false"/>
      <w:caps w:val="false"/>
      <w:smallCaps w:val="false"/>
      <w:color w:val="2F5496"/>
      <w:kern w:val="0"/>
      <w:sz w:val="32"/>
      <w:szCs w:val="32"/>
    </w:rPr>
  </w:style>
  <w:style w:type="paragraph" w:styleId="28" w:customStyle="1">
    <w:name w:val="Знак Знак Знак2"/>
    <w:basedOn w:val="Normal"/>
    <w:uiPriority w:val="99"/>
    <w:qFormat/>
    <w:rsid w:val="00931c3a"/>
    <w:pPr>
      <w:spacing w:lineRule="auto" w:line="240" w:beforeAutospacing="1" w:afterAutospacing="1"/>
    </w:pPr>
    <w:rPr>
      <w:rFonts w:ascii="Tahoma" w:hAnsi="Tahoma" w:eastAsia="Times New Roman"/>
      <w:sz w:val="20"/>
      <w:szCs w:val="20"/>
      <w:lang w:val="en-US"/>
    </w:rPr>
  </w:style>
  <w:style w:type="paragraph" w:styleId="Toaheading">
    <w:name w:val="toa heading"/>
    <w:basedOn w:val="Normal"/>
    <w:next w:val="Normal"/>
    <w:uiPriority w:val="99"/>
    <w:qFormat/>
    <w:rsid w:val="00216d54"/>
    <w:pPr>
      <w:spacing w:lineRule="auto" w:line="240" w:before="40" w:after="20"/>
      <w:jc w:val="center"/>
    </w:pPr>
    <w:rPr>
      <w:rFonts w:ascii="Times New Roman" w:hAnsi="Times New Roman" w:eastAsia="Times New Roman"/>
      <w:b/>
      <w:szCs w:val="20"/>
      <w:lang w:eastAsia="ru-RU"/>
    </w:rPr>
  </w:style>
  <w:style w:type="paragraph" w:styleId="ConsPlusNormal" w:customStyle="1">
    <w:name w:val="ConsPlusNormal"/>
    <w:uiPriority w:val="99"/>
    <w:qFormat/>
    <w:rsid w:val="00a4417f"/>
    <w:pPr>
      <w:widowControl w:val="false"/>
      <w:bidi w:val="0"/>
      <w:spacing w:before="0" w:after="0"/>
      <w:ind w:firstLine="720"/>
      <w:jc w:val="left"/>
    </w:pPr>
    <w:rPr>
      <w:rFonts w:ascii="Arial" w:hAnsi="Arial" w:eastAsia="Times New Roman" w:cs="Arial"/>
      <w:color w:val="auto"/>
      <w:kern w:val="0"/>
      <w:sz w:val="20"/>
      <w:szCs w:val="20"/>
      <w:lang w:val="ru-RU" w:eastAsia="ru-RU" w:bidi="ar-SA"/>
    </w:rPr>
  </w:style>
  <w:style w:type="paragraph" w:styleId="Style53">
    <w:name w:val="Body Text Indent"/>
    <w:basedOn w:val="Normal"/>
    <w:link w:val="BodyTextIndentChar"/>
    <w:uiPriority w:val="99"/>
    <w:rsid w:val="00a4417f"/>
    <w:pPr>
      <w:spacing w:lineRule="auto" w:line="240" w:before="0" w:after="120"/>
      <w:ind w:left="283" w:hanging="0"/>
    </w:pPr>
    <w:rPr>
      <w:rFonts w:ascii="Times New Roman" w:hAnsi="Times New Roman" w:eastAsia="Times New Roman"/>
      <w:sz w:val="24"/>
      <w:szCs w:val="24"/>
      <w:lang w:eastAsia="ru-RU"/>
    </w:rPr>
  </w:style>
  <w:style w:type="paragraph" w:styleId="14" w:customStyle="1">
    <w:name w:val="Знак Знак Знак1"/>
    <w:basedOn w:val="Normal"/>
    <w:uiPriority w:val="99"/>
    <w:qFormat/>
    <w:rsid w:val="001355ab"/>
    <w:pPr>
      <w:spacing w:lineRule="auto" w:line="240" w:beforeAutospacing="1" w:afterAutospacing="1"/>
    </w:pPr>
    <w:rPr>
      <w:rFonts w:ascii="Tahoma" w:hAnsi="Tahoma" w:eastAsia="Times New Roman"/>
      <w:sz w:val="20"/>
      <w:szCs w:val="20"/>
      <w:lang w:val="en-US"/>
    </w:rPr>
  </w:style>
  <w:style w:type="paragraph" w:styleId="Annotationtext">
    <w:name w:val="annotation text"/>
    <w:basedOn w:val="Normal"/>
    <w:link w:val="CommentTextChar"/>
    <w:uiPriority w:val="99"/>
    <w:semiHidden/>
    <w:qFormat/>
    <w:rsid w:val="00a75ba2"/>
    <w:pPr>
      <w:spacing w:lineRule="auto" w:line="240"/>
    </w:pPr>
    <w:rPr>
      <w:sz w:val="20"/>
      <w:szCs w:val="20"/>
    </w:rPr>
  </w:style>
  <w:style w:type="paragraph" w:styleId="Annotationsubject">
    <w:name w:val="annotation subject"/>
    <w:basedOn w:val="Annotationtext"/>
    <w:next w:val="Annotationtext"/>
    <w:link w:val="CommentSubjectChar"/>
    <w:uiPriority w:val="99"/>
    <w:semiHidden/>
    <w:qFormat/>
    <w:rsid w:val="00a75ba2"/>
    <w:pPr/>
    <w:rPr>
      <w:b/>
      <w:bCs/>
    </w:rPr>
  </w:style>
  <w:style w:type="paragraph" w:styleId="BalloonText">
    <w:name w:val="Balloon Text"/>
    <w:basedOn w:val="Normal"/>
    <w:link w:val="BalloonTextChar"/>
    <w:uiPriority w:val="99"/>
    <w:semiHidden/>
    <w:qFormat/>
    <w:rsid w:val="00a75ba2"/>
    <w:pPr>
      <w:spacing w:lineRule="auto" w:line="240" w:before="0" w:after="0"/>
    </w:pPr>
    <w:rPr>
      <w:rFonts w:ascii="Segoe UI" w:hAnsi="Segoe UI" w:cs="Segoe UI"/>
      <w:sz w:val="18"/>
      <w:szCs w:val="18"/>
    </w:rPr>
  </w:style>
  <w:style w:type="paragraph" w:styleId="Style54" w:customStyle="1">
    <w:name w:val="Название таблицы"/>
    <w:basedOn w:val="Caption"/>
    <w:uiPriority w:val="99"/>
    <w:qFormat/>
    <w:rsid w:val="00b67a0e"/>
    <w:pPr>
      <w:keepNext w:val="true"/>
      <w:spacing w:before="120" w:after="0"/>
    </w:pPr>
    <w:rPr>
      <w:rFonts w:ascii="Times New Roman" w:hAnsi="Times New Roman" w:eastAsia="Times New Roman"/>
      <w:b/>
      <w:bCs/>
      <w:i w:val="false"/>
      <w:iCs w:val="false"/>
      <w:color w:val="auto"/>
      <w:sz w:val="22"/>
      <w:szCs w:val="22"/>
      <w:lang w:eastAsia="ru-RU"/>
    </w:rPr>
  </w:style>
  <w:style w:type="paragraph" w:styleId="Style55" w:customStyle="1">
    <w:name w:val="Табличный_центр"/>
    <w:basedOn w:val="Normal"/>
    <w:uiPriority w:val="99"/>
    <w:qFormat/>
    <w:rsid w:val="00b67a0e"/>
    <w:pPr>
      <w:spacing w:lineRule="auto" w:line="240" w:before="0" w:after="0"/>
      <w:jc w:val="center"/>
    </w:pPr>
    <w:rPr>
      <w:rFonts w:ascii="Times New Roman" w:hAnsi="Times New Roman" w:eastAsia="Times New Roman"/>
      <w:b/>
      <w:lang w:eastAsia="ru-RU"/>
    </w:rPr>
  </w:style>
  <w:style w:type="paragraph" w:styleId="10" w:customStyle="1">
    <w:name w:val="Табличный_центр_10"/>
    <w:basedOn w:val="Normal"/>
    <w:uiPriority w:val="99"/>
    <w:qFormat/>
    <w:rsid w:val="00b67a0e"/>
    <w:pPr>
      <w:spacing w:lineRule="auto" w:line="240" w:before="0" w:after="0"/>
      <w:jc w:val="center"/>
    </w:pPr>
    <w:rPr>
      <w:rFonts w:ascii="Times New Roman" w:hAnsi="Times New Roman" w:eastAsia="Times New Roman"/>
      <w:sz w:val="20"/>
      <w:szCs w:val="24"/>
      <w:lang w:eastAsia="ru-RU"/>
    </w:rPr>
  </w:style>
  <w:style w:type="paragraph" w:styleId="Style56">
    <w:name w:val="Верхний и нижний колонтитулы"/>
    <w:basedOn w:val="Normal"/>
    <w:qFormat/>
    <w:pPr/>
    <w:rPr/>
  </w:style>
  <w:style w:type="paragraph" w:styleId="Style57">
    <w:name w:val="Header"/>
    <w:basedOn w:val="Normal"/>
    <w:link w:val="HeaderChar"/>
    <w:uiPriority w:val="99"/>
    <w:rsid w:val="00e126cd"/>
    <w:pPr>
      <w:tabs>
        <w:tab w:val="clear" w:pos="709"/>
        <w:tab w:val="center" w:pos="4677" w:leader="none"/>
        <w:tab w:val="right" w:pos="9355" w:leader="none"/>
      </w:tabs>
      <w:spacing w:lineRule="auto" w:line="240" w:before="0" w:after="0"/>
    </w:pPr>
    <w:rPr/>
  </w:style>
  <w:style w:type="paragraph" w:styleId="NoSpacing">
    <w:name w:val="No Spacing"/>
    <w:link w:val="NoSpacingChar"/>
    <w:uiPriority w:val="99"/>
    <w:qFormat/>
    <w:rsid w:val="00e126cd"/>
    <w:pPr>
      <w:widowControl/>
      <w:bidi w:val="0"/>
      <w:spacing w:before="0" w:after="0"/>
      <w:jc w:val="left"/>
    </w:pPr>
    <w:rPr>
      <w:rFonts w:eastAsia="Times New Roman" w:ascii="Calibri" w:hAnsi="Calibri" w:cs="Times New Roman"/>
      <w:color w:val="auto"/>
      <w:kern w:val="0"/>
      <w:sz w:val="22"/>
      <w:szCs w:val="22"/>
      <w:lang w:val="ru-RU" w:eastAsia="ru-RU" w:bidi="ar-SA"/>
    </w:rPr>
  </w:style>
  <w:style w:type="paragraph" w:styleId="Formattext" w:customStyle="1">
    <w:name w:val="formattext"/>
    <w:basedOn w:val="Normal"/>
    <w:uiPriority w:val="99"/>
    <w:qFormat/>
    <w:rsid w:val="00012e95"/>
    <w:pPr>
      <w:spacing w:lineRule="auto" w:line="240" w:beforeAutospacing="1" w:afterAutospacing="1"/>
    </w:pPr>
    <w:rPr>
      <w:rFonts w:ascii="Times New Roman" w:hAnsi="Times New Roman" w:eastAsia="Times New Roman"/>
      <w:sz w:val="24"/>
      <w:szCs w:val="24"/>
      <w:lang w:eastAsia="ru-RU"/>
    </w:rPr>
  </w:style>
  <w:style w:type="paragraph" w:styleId="B" w:customStyle="1">
    <w:name w:val="_b_обычный"/>
    <w:uiPriority w:val="99"/>
    <w:qFormat/>
    <w:rsid w:val="00737088"/>
    <w:pPr>
      <w:widowControl/>
      <w:bidi w:val="0"/>
      <w:spacing w:before="0" w:after="0"/>
      <w:ind w:firstLine="709"/>
      <w:jc w:val="both"/>
    </w:pPr>
    <w:rPr>
      <w:rFonts w:ascii="Times New Roman" w:hAnsi="Times New Roman" w:eastAsia="Times New Roman" w:cs="Times New Roman"/>
      <w:color w:val="auto"/>
      <w:kern w:val="0"/>
      <w:sz w:val="28"/>
      <w:szCs w:val="20"/>
      <w:lang w:val="ru-RU" w:eastAsia="ru-RU" w:bidi="ar-SA"/>
    </w:rPr>
  </w:style>
  <w:style w:type="paragraph" w:styleId="Style58">
    <w:name w:val="Footer"/>
    <w:basedOn w:val="Style56"/>
    <w:pPr/>
    <w:rPr/>
  </w:style>
  <w:style w:type="paragraph" w:styleId="Style59">
    <w:name w:val="Содержимое врезки"/>
    <w:basedOn w:val="Normal"/>
    <w:qFormat/>
    <w:pPr/>
    <w:rPr/>
  </w:style>
  <w:style w:type="paragraph" w:styleId="S11">
    <w:name w:val="s_1"/>
    <w:basedOn w:val="Normal"/>
    <w:qFormat/>
    <w:pPr>
      <w:spacing w:before="100" w:after="100"/>
      <w:ind w:hanging="0"/>
      <w:jc w:val="left"/>
    </w:pPr>
    <w:rPr/>
  </w:style>
  <w:style w:type="paragraph" w:styleId="Style60">
    <w:name w:val="Обычнй"/>
    <w:basedOn w:val="1"/>
    <w:qFormat/>
    <w:pPr>
      <w:keepNext w:val="true"/>
      <w:spacing w:before="100" w:after="100"/>
      <w:ind w:left="-141" w:firstLine="567"/>
      <w:jc w:val="center"/>
      <w:outlineLvl w:val="9"/>
    </w:pPr>
    <w:rPr>
      <w:b/>
    </w:rPr>
  </w:style>
  <w:style w:type="paragraph" w:styleId="35">
    <w:name w:val="Загооловок 3"/>
    <w:basedOn w:val="Normal"/>
    <w:qFormat/>
    <w:pPr>
      <w:ind w:firstLine="709"/>
    </w:pPr>
    <w:rPr/>
  </w:style>
  <w:style w:type="paragraph" w:styleId="36">
    <w:name w:val="Загоолвок 3"/>
    <w:basedOn w:val="Normal"/>
    <w:qFormat/>
    <w:pPr>
      <w:ind w:firstLine="709"/>
    </w:pPr>
    <w:rPr/>
  </w:style>
  <w:style w:type="paragraph" w:styleId="15">
    <w:name w:val="текст 1"/>
    <w:basedOn w:val="Normal"/>
    <w:qFormat/>
    <w:pPr>
      <w:suppressAutoHyphens w:val="true"/>
      <w:ind w:firstLine="540"/>
    </w:pPr>
    <w:rPr/>
  </w:style>
  <w:style w:type="paragraph" w:styleId="ConsNonformat">
    <w:name w:val="ConsNonformat"/>
    <w:qFormat/>
    <w:pPr>
      <w:widowControl w:val="false"/>
      <w:suppressAutoHyphens w:val="true"/>
      <w:bidi w:val="0"/>
      <w:spacing w:before="0" w:after="0"/>
      <w:ind w:right="19772" w:firstLine="709"/>
      <w:jc w:val="both"/>
    </w:pPr>
    <w:rPr>
      <w:rFonts w:ascii="Courier New" w:hAnsi="Courier New" w:eastAsia="SimSun" w:cs="Courier New"/>
      <w:color w:val="auto"/>
      <w:kern w:val="2"/>
      <w:sz w:val="20"/>
      <w:szCs w:val="20"/>
      <w:lang w:val="ru-RU" w:eastAsia="zh-CN" w:bidi="ar-SA"/>
    </w:rPr>
  </w:style>
  <w:style w:type="paragraph" w:styleId="42">
    <w:name w:val="Заголовок 4_"/>
    <w:basedOn w:val="3"/>
    <w:qFormat/>
    <w:pPr>
      <w:keepNext w:val="true"/>
      <w:tabs>
        <w:tab w:val="clear" w:pos="4677"/>
        <w:tab w:val="clear" w:pos="9355"/>
        <w:tab w:val="left" w:pos="1276" w:leader="none"/>
      </w:tabs>
      <w:spacing w:before="120" w:after="120"/>
      <w:ind w:firstLine="567"/>
      <w:jc w:val="left"/>
      <w:outlineLvl w:val="9"/>
    </w:pPr>
    <w:rPr>
      <w:b w:val="false"/>
      <w:bCs/>
      <w:i/>
    </w:rPr>
  </w:style>
  <w:style w:type="paragraph" w:styleId="Default">
    <w:name w:val="Default"/>
    <w:qFormat/>
    <w:pPr>
      <w:widowControl/>
      <w:suppressAutoHyphens w:val="true"/>
      <w:bidi w:val="0"/>
      <w:spacing w:before="0" w:after="0"/>
      <w:ind w:firstLine="709"/>
      <w:jc w:val="both"/>
    </w:pPr>
    <w:rPr>
      <w:rFonts w:ascii="Arial MT" w:hAnsi="Arial MT" w:eastAsia="Times New Roman" w:cs="Arial MT"/>
      <w:color w:val="000000"/>
      <w:kern w:val="2"/>
      <w:sz w:val="24"/>
      <w:szCs w:val="24"/>
      <w:lang w:val="ru-RU" w:eastAsia="zh-CN" w:bidi="ar-SA"/>
    </w:rPr>
  </w:style>
  <w:style w:type="paragraph" w:styleId="FR2">
    <w:name w:val="FR2"/>
    <w:qFormat/>
    <w:pPr>
      <w:widowControl w:val="false"/>
      <w:suppressAutoHyphens w:val="true"/>
      <w:bidi w:val="0"/>
      <w:spacing w:before="0" w:after="0"/>
      <w:ind w:firstLine="709"/>
      <w:jc w:val="both"/>
      <w:textAlignment w:val="baseline"/>
    </w:pPr>
    <w:rPr>
      <w:rFonts w:ascii="Times New Roman" w:hAnsi="Times New Roman" w:eastAsia="Arial" w:cs="Times New Roman"/>
      <w:color w:val="auto"/>
      <w:kern w:val="2"/>
      <w:sz w:val="20"/>
      <w:szCs w:val="24"/>
      <w:lang w:val="ru-RU" w:eastAsia="zh-CN" w:bidi="ar-SA"/>
    </w:rPr>
  </w:style>
  <w:style w:type="paragraph" w:styleId="Textbodyindent">
    <w:name w:val="Text body indent"/>
    <w:qFormat/>
    <w:pPr>
      <w:widowControl/>
      <w:suppressAutoHyphens w:val="true"/>
      <w:bidi w:val="0"/>
      <w:spacing w:before="0" w:after="0"/>
      <w:ind w:firstLine="709"/>
      <w:jc w:val="both"/>
      <w:textAlignment w:val="baseline"/>
    </w:pPr>
    <w:rPr>
      <w:rFonts w:ascii="Times New Roman" w:hAnsi="Times New Roman" w:eastAsia="Arial" w:cs="Times New Roman"/>
      <w:color w:val="auto"/>
      <w:kern w:val="2"/>
      <w:sz w:val="24"/>
      <w:szCs w:val="24"/>
      <w:lang w:val="ru-RU" w:eastAsia="ja-JP" w:bidi="ar-SA"/>
    </w:rPr>
  </w:style>
  <w:style w:type="paragraph" w:styleId="Standard">
    <w:name w:val="Standard"/>
    <w:qFormat/>
    <w:pPr>
      <w:widowControl w:val="false"/>
      <w:suppressAutoHyphens w:val="true"/>
      <w:bidi w:val="0"/>
      <w:spacing w:before="0" w:after="0"/>
      <w:ind w:firstLine="709"/>
      <w:jc w:val="both"/>
      <w:textAlignment w:val="baseline"/>
    </w:pPr>
    <w:rPr>
      <w:rFonts w:ascii="Times New Roman" w:hAnsi="Times New Roman" w:eastAsia="Andale Sans UI" w:cs="Tahoma"/>
      <w:color w:val="auto"/>
      <w:kern w:val="2"/>
      <w:sz w:val="24"/>
      <w:szCs w:val="24"/>
      <w:lang w:val="de-DE" w:eastAsia="ja-JP" w:bidi="fa-IR"/>
    </w:rPr>
  </w:style>
  <w:style w:type="paragraph" w:styleId="16">
    <w:name w:val="Основной текст с отступом.Мой Заголовок 1"/>
    <w:basedOn w:val="Normal"/>
    <w:qFormat/>
    <w:pPr>
      <w:widowControl w:val="false"/>
      <w:tabs>
        <w:tab w:val="clear" w:pos="709"/>
        <w:tab w:val="left" w:pos="6237" w:leader="none"/>
      </w:tabs>
      <w:ind w:firstLine="709"/>
      <w:jc w:val="center"/>
    </w:pPr>
    <w:rPr>
      <w:sz w:val="28"/>
      <w:szCs w:val="28"/>
      <w:lang w:val="en-US" w:eastAsia="ru-RU"/>
    </w:rPr>
  </w:style>
  <w:style w:type="paragraph" w:styleId="Xl79">
    <w:name w:val="xl79"/>
    <w:basedOn w:val="Normal"/>
    <w:qFormat/>
    <w:pPr>
      <w:pBdr>
        <w:top w:val="single" w:sz="4" w:space="0" w:color="000000"/>
        <w:bottom w:val="single" w:sz="4" w:space="0" w:color="000000"/>
        <w:right w:val="single" w:sz="4" w:space="0" w:color="000000"/>
      </w:pBdr>
      <w:spacing w:before="100" w:after="100"/>
      <w:ind w:firstLine="709"/>
      <w:jc w:val="center"/>
      <w:textAlignment w:val="center"/>
    </w:pPr>
    <w:rPr>
      <w:sz w:val="16"/>
      <w:szCs w:val="16"/>
    </w:rPr>
  </w:style>
  <w:style w:type="paragraph" w:styleId="Xl78">
    <w:name w:val="xl78"/>
    <w:basedOn w:val="Normal"/>
    <w:qFormat/>
    <w:pPr>
      <w:pBdr>
        <w:top w:val="single" w:sz="4" w:space="0" w:color="000000"/>
        <w:bottom w:val="single" w:sz="4" w:space="0" w:color="000000"/>
      </w:pBdr>
      <w:spacing w:before="100" w:after="100"/>
      <w:ind w:firstLine="709"/>
      <w:jc w:val="center"/>
      <w:textAlignment w:val="center"/>
    </w:pPr>
    <w:rPr>
      <w:sz w:val="16"/>
      <w:szCs w:val="16"/>
    </w:rPr>
  </w:style>
  <w:style w:type="paragraph" w:styleId="Xl77">
    <w:name w:val="xl77"/>
    <w:basedOn w:val="Normal"/>
    <w:qFormat/>
    <w:pPr>
      <w:pBdr>
        <w:top w:val="single" w:sz="4" w:space="0" w:color="000000"/>
        <w:left w:val="single" w:sz="4" w:space="0" w:color="000000"/>
        <w:bottom w:val="single" w:sz="4" w:space="0" w:color="000000"/>
      </w:pBdr>
      <w:spacing w:before="100" w:after="100"/>
      <w:ind w:firstLine="709"/>
      <w:jc w:val="center"/>
      <w:textAlignment w:val="center"/>
    </w:pPr>
    <w:rPr>
      <w:sz w:val="16"/>
      <w:szCs w:val="16"/>
    </w:rPr>
  </w:style>
  <w:style w:type="paragraph" w:styleId="Xl76">
    <w:name w:val="xl76"/>
    <w:basedOn w:val="Normal"/>
    <w:qFormat/>
    <w:pPr>
      <w:pBdr>
        <w:top w:val="single" w:sz="4" w:space="0" w:color="000000"/>
        <w:bottom w:val="single" w:sz="4" w:space="0" w:color="000000"/>
        <w:right w:val="single" w:sz="4" w:space="0" w:color="000000"/>
      </w:pBdr>
      <w:spacing w:before="100" w:after="100"/>
      <w:ind w:firstLine="709"/>
      <w:textAlignment w:val="center"/>
    </w:pPr>
    <w:rPr/>
  </w:style>
  <w:style w:type="paragraph" w:styleId="Xl75">
    <w:name w:val="xl75"/>
    <w:basedOn w:val="Normal"/>
    <w:qFormat/>
    <w:pPr>
      <w:pBdr>
        <w:top w:val="single" w:sz="4" w:space="0" w:color="000000"/>
        <w:bottom w:val="single" w:sz="4" w:space="0" w:color="000000"/>
      </w:pBdr>
      <w:spacing w:before="100" w:after="100"/>
      <w:ind w:firstLine="709"/>
      <w:textAlignment w:val="center"/>
    </w:pPr>
    <w:rPr/>
  </w:style>
  <w:style w:type="paragraph" w:styleId="Xl74">
    <w:name w:val="xl74"/>
    <w:basedOn w:val="Normal"/>
    <w:qFormat/>
    <w:pPr>
      <w:pBdr>
        <w:top w:val="single" w:sz="4" w:space="0" w:color="000000"/>
        <w:left w:val="single" w:sz="4" w:space="0" w:color="000000"/>
        <w:bottom w:val="single" w:sz="4" w:space="0" w:color="000000"/>
      </w:pBdr>
      <w:spacing w:before="100" w:after="100"/>
      <w:ind w:firstLine="709"/>
      <w:textAlignment w:val="center"/>
    </w:pPr>
    <w:rPr/>
  </w:style>
  <w:style w:type="paragraph" w:styleId="Xl73">
    <w:name w:val="xl73"/>
    <w:basedOn w:val="Normal"/>
    <w:qFormat/>
    <w:pPr>
      <w:pBdr>
        <w:top w:val="single" w:sz="4" w:space="0" w:color="000000"/>
        <w:bottom w:val="single" w:sz="4" w:space="0" w:color="000000"/>
        <w:right w:val="single" w:sz="4" w:space="0" w:color="000000"/>
      </w:pBdr>
      <w:spacing w:before="100" w:after="100"/>
      <w:ind w:firstLine="709"/>
      <w:jc w:val="center"/>
      <w:textAlignment w:val="center"/>
    </w:pPr>
    <w:rPr>
      <w:b/>
      <w:bCs/>
    </w:rPr>
  </w:style>
  <w:style w:type="paragraph" w:styleId="Xl72">
    <w:name w:val="xl72"/>
    <w:basedOn w:val="Normal"/>
    <w:qFormat/>
    <w:pPr>
      <w:pBdr>
        <w:top w:val="single" w:sz="4" w:space="0" w:color="000000"/>
        <w:bottom w:val="single" w:sz="4" w:space="0" w:color="000000"/>
      </w:pBdr>
      <w:spacing w:before="100" w:after="100"/>
      <w:ind w:firstLine="709"/>
      <w:jc w:val="center"/>
      <w:textAlignment w:val="center"/>
    </w:pPr>
    <w:rPr>
      <w:b/>
      <w:bCs/>
    </w:rPr>
  </w:style>
  <w:style w:type="paragraph" w:styleId="Xl71">
    <w:name w:val="xl71"/>
    <w:basedOn w:val="Normal"/>
    <w:qFormat/>
    <w:pPr>
      <w:pBdr>
        <w:top w:val="single" w:sz="4" w:space="0" w:color="000000"/>
        <w:left w:val="single" w:sz="4" w:space="0" w:color="000000"/>
        <w:bottom w:val="single" w:sz="4" w:space="0" w:color="000000"/>
      </w:pBdr>
      <w:spacing w:before="100" w:after="100"/>
      <w:ind w:firstLine="709"/>
      <w:jc w:val="center"/>
      <w:textAlignment w:val="center"/>
    </w:pPr>
    <w:rPr>
      <w:b/>
      <w:bCs/>
    </w:rPr>
  </w:style>
  <w:style w:type="paragraph" w:styleId="Xl70">
    <w:name w:val="xl70"/>
    <w:basedOn w:val="Normal"/>
    <w:qFormat/>
    <w:pPr>
      <w:pBdr>
        <w:top w:val="single" w:sz="4" w:space="0" w:color="000000"/>
        <w:bottom w:val="single" w:sz="4" w:space="0" w:color="000000"/>
        <w:right w:val="single" w:sz="4" w:space="0" w:color="000000"/>
      </w:pBdr>
      <w:spacing w:before="100" w:after="100"/>
      <w:ind w:firstLine="709"/>
      <w:jc w:val="center"/>
      <w:textAlignment w:val="center"/>
    </w:pPr>
    <w:rPr/>
  </w:style>
  <w:style w:type="paragraph" w:styleId="Xl69">
    <w:name w:val="xl69"/>
    <w:basedOn w:val="Normal"/>
    <w:qFormat/>
    <w:pPr>
      <w:pBdr>
        <w:top w:val="single" w:sz="4" w:space="0" w:color="000000"/>
        <w:bottom w:val="single" w:sz="4" w:space="0" w:color="000000"/>
      </w:pBdr>
      <w:spacing w:before="100" w:after="100"/>
      <w:ind w:firstLine="709"/>
      <w:jc w:val="center"/>
      <w:textAlignment w:val="center"/>
    </w:pPr>
    <w:rPr/>
  </w:style>
  <w:style w:type="paragraph" w:styleId="Xl68">
    <w:name w:val="xl68"/>
    <w:basedOn w:val="Normal"/>
    <w:qFormat/>
    <w:pPr>
      <w:pBdr>
        <w:top w:val="single" w:sz="4" w:space="0" w:color="000000"/>
        <w:left w:val="single" w:sz="4" w:space="0" w:color="000000"/>
        <w:bottom w:val="single" w:sz="4" w:space="0" w:color="000000"/>
      </w:pBdr>
      <w:spacing w:before="100" w:after="100"/>
      <w:ind w:firstLine="709"/>
      <w:jc w:val="center"/>
      <w:textAlignment w:val="center"/>
    </w:pPr>
    <w:rPr/>
  </w:style>
  <w:style w:type="paragraph" w:styleId="Xl67">
    <w:name w:val="xl67"/>
    <w:basedOn w:val="Normal"/>
    <w:qFormat/>
    <w:pPr>
      <w:pBdr>
        <w:top w:val="single" w:sz="4" w:space="0" w:color="000000"/>
        <w:left w:val="single" w:sz="4" w:space="0" w:color="000000"/>
        <w:bottom w:val="single" w:sz="4" w:space="0" w:color="000000"/>
        <w:right w:val="single" w:sz="4" w:space="0" w:color="000000"/>
      </w:pBdr>
      <w:spacing w:before="100" w:after="100"/>
      <w:ind w:firstLine="709"/>
      <w:textAlignment w:val="center"/>
    </w:pPr>
    <w:rPr>
      <w:b/>
      <w:bCs/>
    </w:rPr>
  </w:style>
  <w:style w:type="paragraph" w:styleId="Xl66">
    <w:name w:val="xl66"/>
    <w:basedOn w:val="Normal"/>
    <w:qFormat/>
    <w:pPr>
      <w:pBdr>
        <w:top w:val="single" w:sz="4" w:space="0" w:color="000000"/>
        <w:left w:val="single" w:sz="4" w:space="0" w:color="000000"/>
        <w:bottom w:val="single" w:sz="4" w:space="0" w:color="000000"/>
        <w:right w:val="single" w:sz="4" w:space="0" w:color="000000"/>
      </w:pBdr>
      <w:spacing w:before="100" w:after="100"/>
      <w:ind w:firstLine="709"/>
      <w:jc w:val="center"/>
      <w:textAlignment w:val="center"/>
    </w:pPr>
    <w:rPr>
      <w:b/>
      <w:bCs/>
    </w:rPr>
  </w:style>
  <w:style w:type="paragraph" w:styleId="Xl65">
    <w:name w:val="xl65"/>
    <w:basedOn w:val="Normal"/>
    <w:qFormat/>
    <w:pPr>
      <w:pBdr>
        <w:top w:val="single" w:sz="4" w:space="0" w:color="000000"/>
        <w:left w:val="single" w:sz="4" w:space="0" w:color="000000"/>
        <w:bottom w:val="single" w:sz="4" w:space="0" w:color="000000"/>
        <w:right w:val="single" w:sz="4" w:space="0" w:color="000000"/>
      </w:pBdr>
      <w:spacing w:before="100" w:after="100"/>
      <w:ind w:firstLine="709"/>
      <w:jc w:val="center"/>
      <w:textAlignment w:val="center"/>
    </w:pPr>
    <w:rPr/>
  </w:style>
  <w:style w:type="paragraph" w:styleId="Xl64">
    <w:name w:val="xl64"/>
    <w:basedOn w:val="Normal"/>
    <w:qFormat/>
    <w:pPr>
      <w:pBdr>
        <w:top w:val="single" w:sz="4" w:space="0" w:color="000000"/>
        <w:left w:val="single" w:sz="4" w:space="0" w:color="000000"/>
        <w:bottom w:val="single" w:sz="4" w:space="0" w:color="000000"/>
        <w:right w:val="single" w:sz="4" w:space="0" w:color="000000"/>
      </w:pBdr>
      <w:spacing w:before="100" w:after="100"/>
      <w:ind w:firstLine="709"/>
      <w:jc w:val="center"/>
      <w:textAlignment w:val="center"/>
    </w:pPr>
    <w:rPr/>
  </w:style>
  <w:style w:type="paragraph" w:styleId="Xl63">
    <w:name w:val="xl63"/>
    <w:basedOn w:val="Normal"/>
    <w:qFormat/>
    <w:pPr>
      <w:spacing w:before="100" w:after="100"/>
      <w:ind w:firstLine="709"/>
      <w:jc w:val="center"/>
      <w:textAlignment w:val="center"/>
    </w:pPr>
    <w:rPr/>
  </w:style>
  <w:style w:type="paragraph" w:styleId="Font6">
    <w:name w:val="font6"/>
    <w:basedOn w:val="Normal"/>
    <w:qFormat/>
    <w:pPr>
      <w:spacing w:before="100" w:after="100"/>
      <w:ind w:firstLine="709"/>
    </w:pPr>
    <w:rPr>
      <w:b/>
      <w:bCs/>
      <w:color w:val="000000"/>
    </w:rPr>
  </w:style>
  <w:style w:type="paragraph" w:styleId="Font5">
    <w:name w:val="font5"/>
    <w:basedOn w:val="Normal"/>
    <w:qFormat/>
    <w:pPr>
      <w:spacing w:before="100" w:after="100"/>
      <w:ind w:firstLine="709"/>
    </w:pPr>
    <w:rPr>
      <w:b/>
      <w:bCs/>
      <w:color w:val="000000"/>
    </w:rPr>
  </w:style>
  <w:style w:type="paragraph" w:styleId="Style61">
    <w:name w:val="Обычный в таблице"/>
    <w:basedOn w:val="Normal"/>
    <w:qFormat/>
    <w:pPr>
      <w:suppressAutoHyphens w:val="true"/>
      <w:ind w:firstLine="709"/>
      <w:jc w:val="center"/>
    </w:pPr>
    <w:rPr/>
  </w:style>
  <w:style w:type="paragraph" w:styleId="S12">
    <w:name w:val="S_Заголовок 1"/>
    <w:basedOn w:val="Normal"/>
    <w:qFormat/>
    <w:pPr>
      <w:tabs>
        <w:tab w:val="clear" w:pos="709"/>
        <w:tab w:val="left" w:pos="360" w:leader="none"/>
      </w:tabs>
      <w:suppressAutoHyphens w:val="true"/>
      <w:ind w:left="360" w:hanging="360"/>
      <w:jc w:val="center"/>
    </w:pPr>
    <w:rPr>
      <w:b/>
      <w:caps/>
    </w:rPr>
  </w:style>
  <w:style w:type="paragraph" w:styleId="17">
    <w:name w:val="Маркированный список1"/>
    <w:basedOn w:val="Normal"/>
    <w:qFormat/>
    <w:pPr>
      <w:tabs>
        <w:tab w:val="clear" w:pos="709"/>
        <w:tab w:val="left" w:pos="1026" w:leader="none"/>
        <w:tab w:val="left" w:pos="3346" w:leader="none"/>
      </w:tabs>
      <w:suppressAutoHyphens w:val="true"/>
      <w:spacing w:lineRule="auto" w:line="360"/>
      <w:ind w:firstLine="741"/>
    </w:pPr>
    <w:rPr/>
  </w:style>
  <w:style w:type="paragraph" w:styleId="Style62">
    <w:name w:val="ООО  «Институт Территориального Планирования"/>
    <w:basedOn w:val="Normal"/>
    <w:qFormat/>
    <w:pPr>
      <w:spacing w:lineRule="auto" w:line="360"/>
      <w:ind w:left="709" w:hanging="0"/>
      <w:jc w:val="right"/>
    </w:pPr>
    <w:rPr/>
  </w:style>
  <w:style w:type="paragraph" w:styleId="Style63">
    <w:name w:val="ТЕКСТ ГРАД"/>
    <w:basedOn w:val="Normal"/>
    <w:qFormat/>
    <w:pPr>
      <w:spacing w:lineRule="auto" w:line="360"/>
      <w:ind w:firstLine="709"/>
    </w:pPr>
    <w:rPr/>
  </w:style>
  <w:style w:type="paragraph" w:styleId="S3">
    <w:name w:val="S_Титульный"/>
    <w:basedOn w:val="Normal"/>
    <w:qFormat/>
    <w:pPr>
      <w:spacing w:lineRule="auto" w:line="360"/>
      <w:ind w:left="3240" w:hanging="0"/>
      <w:jc w:val="right"/>
    </w:pPr>
    <w:rPr>
      <w:b/>
      <w:sz w:val="32"/>
      <w:szCs w:val="32"/>
    </w:rPr>
  </w:style>
  <w:style w:type="paragraph" w:styleId="S4">
    <w:name w:val="S_Обычный"/>
    <w:basedOn w:val="Normal"/>
    <w:qFormat/>
    <w:pPr>
      <w:spacing w:before="120" w:after="60"/>
      <w:ind w:firstLine="567"/>
    </w:pPr>
    <w:rPr/>
  </w:style>
  <w:style w:type="paragraph" w:styleId="Style64">
    <w:name w:val="Электронная подпись"/>
    <w:basedOn w:val="Normal"/>
    <w:qFormat/>
    <w:pPr>
      <w:spacing w:lineRule="auto" w:line="360"/>
      <w:ind w:left="1080" w:hanging="0"/>
    </w:pPr>
    <w:rPr>
      <w:rFonts w:ascii="Arial" w:hAnsi="Arial" w:cs="Arial"/>
      <w:spacing w:val="-5"/>
    </w:rPr>
  </w:style>
  <w:style w:type="paragraph" w:styleId="HTML10">
    <w:name w:val="Стандартный HTML"/>
    <w:basedOn w:val="Normal"/>
    <w:qFormat/>
    <w:pPr>
      <w:spacing w:lineRule="auto" w:line="360"/>
      <w:ind w:left="1080" w:hanging="0"/>
    </w:pPr>
    <w:rPr>
      <w:rFonts w:ascii="Courier New" w:hAnsi="Courier New" w:cs="Courier New"/>
      <w:spacing w:val="-5"/>
    </w:rPr>
  </w:style>
  <w:style w:type="paragraph" w:styleId="Style65">
    <w:name w:val="Прощание"/>
    <w:basedOn w:val="Normal"/>
    <w:qFormat/>
    <w:pPr>
      <w:spacing w:lineRule="auto" w:line="360"/>
      <w:ind w:left="4252" w:hanging="0"/>
    </w:pPr>
    <w:rPr>
      <w:rFonts w:ascii="Arial" w:hAnsi="Arial" w:cs="Arial"/>
      <w:spacing w:val="-5"/>
    </w:rPr>
  </w:style>
  <w:style w:type="paragraph" w:styleId="Style66">
    <w:name w:val="Приветствие"/>
    <w:basedOn w:val="Normal"/>
    <w:qFormat/>
    <w:pPr>
      <w:spacing w:lineRule="auto" w:line="360"/>
      <w:ind w:left="1080" w:hanging="0"/>
    </w:pPr>
    <w:rPr>
      <w:rFonts w:ascii="Arial" w:hAnsi="Arial" w:cs="Arial"/>
      <w:spacing w:val="-5"/>
    </w:rPr>
  </w:style>
  <w:style w:type="paragraph" w:styleId="29">
    <w:name w:val="Красная строка 2"/>
    <w:qFormat/>
    <w:pPr>
      <w:widowControl/>
      <w:bidi w:val="0"/>
      <w:spacing w:lineRule="auto" w:line="360" w:before="0" w:after="120"/>
      <w:ind w:left="283" w:firstLine="210"/>
      <w:jc w:val="left"/>
    </w:pPr>
    <w:rPr>
      <w:rFonts w:ascii="Arial" w:hAnsi="Arial" w:cs="Arial" w:eastAsia="Calibri"/>
      <w:color w:val="auto"/>
      <w:spacing w:val="-5"/>
      <w:kern w:val="0"/>
      <w:sz w:val="22"/>
      <w:szCs w:val="22"/>
      <w:lang w:val="ru-RU" w:eastAsia="ru-RU" w:bidi="ar-SA"/>
    </w:rPr>
  </w:style>
  <w:style w:type="paragraph" w:styleId="Style67">
    <w:name w:val="Красная строка"/>
    <w:qFormat/>
    <w:pPr>
      <w:widowControl/>
      <w:bidi w:val="0"/>
      <w:spacing w:lineRule="auto" w:line="360" w:before="0" w:after="120"/>
      <w:ind w:left="1080" w:firstLine="210"/>
      <w:jc w:val="left"/>
    </w:pPr>
    <w:rPr>
      <w:rFonts w:ascii="Arial" w:hAnsi="Arial" w:cs="Arial" w:eastAsia="Calibri"/>
      <w:color w:val="auto"/>
      <w:spacing w:val="-5"/>
      <w:kern w:val="0"/>
      <w:sz w:val="22"/>
      <w:szCs w:val="22"/>
      <w:lang w:val="ru-RU" w:eastAsia="ru-RU" w:bidi="ar-SA"/>
    </w:rPr>
  </w:style>
  <w:style w:type="paragraph" w:styleId="Style68">
    <w:name w:val="Заголовок записки"/>
    <w:basedOn w:val="Normal"/>
    <w:qFormat/>
    <w:pPr>
      <w:spacing w:lineRule="auto" w:line="360"/>
      <w:ind w:left="1080" w:hanging="0"/>
    </w:pPr>
    <w:rPr>
      <w:rFonts w:ascii="Arial" w:hAnsi="Arial" w:cs="Arial"/>
      <w:spacing w:val="-5"/>
    </w:rPr>
  </w:style>
  <w:style w:type="paragraph" w:styleId="Style69">
    <w:name w:val="Дата"/>
    <w:basedOn w:val="Normal"/>
    <w:qFormat/>
    <w:pPr>
      <w:spacing w:lineRule="auto" w:line="360"/>
      <w:ind w:left="1080" w:hanging="0"/>
    </w:pPr>
    <w:rPr>
      <w:rFonts w:ascii="Arial" w:hAnsi="Arial" w:cs="Arial"/>
      <w:spacing w:val="-5"/>
    </w:rPr>
  </w:style>
  <w:style w:type="paragraph" w:styleId="HTML11">
    <w:name w:val="Адрес HTML"/>
    <w:basedOn w:val="Normal"/>
    <w:qFormat/>
    <w:pPr>
      <w:spacing w:lineRule="auto" w:line="360"/>
      <w:ind w:left="1080" w:hanging="0"/>
    </w:pPr>
    <w:rPr>
      <w:rFonts w:ascii="Arial" w:hAnsi="Arial" w:cs="Arial"/>
      <w:i/>
      <w:iCs/>
      <w:spacing w:val="-5"/>
    </w:rPr>
  </w:style>
  <w:style w:type="paragraph" w:styleId="Style70">
    <w:name w:val="Обычный отступ"/>
    <w:basedOn w:val="Normal"/>
    <w:qFormat/>
    <w:pPr>
      <w:spacing w:lineRule="auto" w:line="360"/>
      <w:ind w:left="1440" w:hanging="0"/>
    </w:pPr>
    <w:rPr>
      <w:rFonts w:ascii="Arial" w:hAnsi="Arial" w:cs="Arial"/>
      <w:spacing w:val="-5"/>
    </w:rPr>
  </w:style>
  <w:style w:type="paragraph" w:styleId="Style71">
    <w:name w:val="Шапка"/>
    <w:qFormat/>
    <w:pPr>
      <w:keepLines/>
      <w:widowControl/>
      <w:tabs>
        <w:tab w:val="clear" w:pos="709"/>
        <w:tab w:val="left" w:pos="3600" w:leader="none"/>
        <w:tab w:val="left" w:pos="4680" w:leader="none"/>
      </w:tabs>
      <w:bidi w:val="0"/>
      <w:spacing w:lineRule="exact" w:line="280" w:before="0" w:after="120"/>
      <w:ind w:left="1080" w:right="2160" w:hanging="1080"/>
      <w:jc w:val="left"/>
    </w:pPr>
    <w:rPr>
      <w:rFonts w:ascii="Arial" w:hAnsi="Arial" w:cs="Arial" w:eastAsia="Calibri"/>
      <w:color w:val="auto"/>
      <w:kern w:val="0"/>
      <w:sz w:val="22"/>
      <w:szCs w:val="22"/>
      <w:lang w:val="ru-RU" w:eastAsia="ru-RU" w:bidi="ar-SA"/>
    </w:rPr>
  </w:style>
  <w:style w:type="paragraph" w:styleId="Style72">
    <w:name w:val="Нумерованный список"/>
    <w:basedOn w:val="Normal"/>
    <w:qFormat/>
    <w:pPr>
      <w:spacing w:lineRule="auto" w:line="360" w:before="100" w:after="100"/>
      <w:ind w:firstLine="709"/>
    </w:pPr>
    <w:rPr>
      <w:sz w:val="28"/>
      <w:szCs w:val="28"/>
    </w:rPr>
  </w:style>
  <w:style w:type="paragraph" w:styleId="52">
    <w:name w:val="Продолжение списка 5"/>
    <w:qFormat/>
    <w:pPr>
      <w:widowControl/>
      <w:bidi w:val="0"/>
      <w:spacing w:lineRule="atLeast" w:line="240" w:before="0" w:after="240"/>
      <w:ind w:left="3240" w:hanging="0"/>
      <w:jc w:val="left"/>
    </w:pPr>
    <w:rPr>
      <w:rFonts w:ascii="Arial" w:hAnsi="Arial" w:cs="Arial" w:eastAsia="Calibri"/>
      <w:color w:val="auto"/>
      <w:spacing w:val="-5"/>
      <w:kern w:val="0"/>
      <w:sz w:val="20"/>
      <w:szCs w:val="20"/>
      <w:lang w:val="ru-RU" w:eastAsia="ru-RU" w:bidi="ar-SA"/>
    </w:rPr>
  </w:style>
  <w:style w:type="paragraph" w:styleId="43">
    <w:name w:val="Продолжение списка 4"/>
    <w:qFormat/>
    <w:pPr>
      <w:widowControl/>
      <w:bidi w:val="0"/>
      <w:spacing w:lineRule="atLeast" w:line="240" w:before="0" w:after="240"/>
      <w:ind w:left="2880" w:hanging="0"/>
      <w:jc w:val="left"/>
    </w:pPr>
    <w:rPr>
      <w:rFonts w:ascii="Arial" w:hAnsi="Arial" w:cs="Arial" w:eastAsia="Calibri"/>
      <w:color w:val="auto"/>
      <w:spacing w:val="-5"/>
      <w:kern w:val="0"/>
      <w:sz w:val="20"/>
      <w:szCs w:val="20"/>
      <w:lang w:val="ru-RU" w:eastAsia="ru-RU" w:bidi="ar-SA"/>
    </w:rPr>
  </w:style>
  <w:style w:type="paragraph" w:styleId="37">
    <w:name w:val="Продолжение списка 3"/>
    <w:qFormat/>
    <w:pPr>
      <w:widowControl/>
      <w:bidi w:val="0"/>
      <w:spacing w:lineRule="atLeast" w:line="240" w:before="0" w:after="240"/>
      <w:ind w:left="2520" w:hanging="0"/>
      <w:jc w:val="left"/>
    </w:pPr>
    <w:rPr>
      <w:rFonts w:ascii="Arial" w:hAnsi="Arial" w:cs="Arial" w:eastAsia="Calibri"/>
      <w:color w:val="auto"/>
      <w:spacing w:val="-5"/>
      <w:kern w:val="0"/>
      <w:sz w:val="20"/>
      <w:szCs w:val="20"/>
      <w:lang w:val="ru-RU" w:eastAsia="ru-RU" w:bidi="ar-SA"/>
    </w:rPr>
  </w:style>
  <w:style w:type="paragraph" w:styleId="210">
    <w:name w:val="Продолжение списка 2"/>
    <w:qFormat/>
    <w:pPr>
      <w:widowControl/>
      <w:bidi w:val="0"/>
      <w:spacing w:lineRule="atLeast" w:line="240" w:before="0" w:after="240"/>
      <w:ind w:left="2160" w:hanging="0"/>
      <w:jc w:val="left"/>
    </w:pPr>
    <w:rPr>
      <w:rFonts w:ascii="Arial" w:hAnsi="Arial" w:cs="Arial" w:eastAsia="Calibri"/>
      <w:color w:val="auto"/>
      <w:spacing w:val="-5"/>
      <w:kern w:val="0"/>
      <w:sz w:val="20"/>
      <w:szCs w:val="20"/>
      <w:lang w:val="ru-RU" w:eastAsia="ru-RU" w:bidi="ar-SA"/>
    </w:rPr>
  </w:style>
  <w:style w:type="paragraph" w:styleId="Style73">
    <w:name w:val="Продолжение списка"/>
    <w:qFormat/>
    <w:pPr>
      <w:widowControl/>
      <w:bidi w:val="0"/>
      <w:spacing w:lineRule="atLeast" w:line="240" w:before="0" w:after="240"/>
      <w:ind w:left="1440" w:hanging="0"/>
      <w:jc w:val="left"/>
    </w:pPr>
    <w:rPr>
      <w:rFonts w:ascii="Arial" w:hAnsi="Arial" w:cs="Arial" w:eastAsia="Calibri"/>
      <w:color w:val="auto"/>
      <w:spacing w:val="-5"/>
      <w:kern w:val="0"/>
      <w:sz w:val="20"/>
      <w:szCs w:val="20"/>
      <w:lang w:val="ru-RU" w:eastAsia="ru-RU" w:bidi="ar-SA"/>
    </w:rPr>
  </w:style>
  <w:style w:type="paragraph" w:styleId="53">
    <w:name w:val="Маркированный список 5"/>
    <w:qFormat/>
    <w:pPr>
      <w:widowControl/>
      <w:tabs>
        <w:tab w:val="clear" w:pos="709"/>
        <w:tab w:val="left" w:pos="360" w:leader="none"/>
      </w:tabs>
      <w:bidi w:val="0"/>
      <w:spacing w:lineRule="atLeast" w:line="240" w:before="0" w:after="240"/>
      <w:ind w:left="2880" w:hanging="360"/>
      <w:contextualSpacing/>
      <w:jc w:val="left"/>
    </w:pPr>
    <w:rPr>
      <w:rFonts w:ascii="Arial" w:hAnsi="Arial" w:cs="Arial" w:eastAsia="Calibri"/>
      <w:color w:val="auto"/>
      <w:spacing w:val="-5"/>
      <w:kern w:val="0"/>
      <w:sz w:val="20"/>
      <w:szCs w:val="20"/>
      <w:lang w:val="ru-RU" w:eastAsia="ru-RU" w:bidi="ar-SA"/>
    </w:rPr>
  </w:style>
  <w:style w:type="paragraph" w:styleId="44">
    <w:name w:val="Маркированный список 4"/>
    <w:qFormat/>
    <w:pPr>
      <w:widowControl/>
      <w:tabs>
        <w:tab w:val="clear" w:pos="709"/>
        <w:tab w:val="left" w:pos="360" w:leader="none"/>
      </w:tabs>
      <w:bidi w:val="0"/>
      <w:spacing w:lineRule="atLeast" w:line="240" w:before="0" w:after="240"/>
      <w:ind w:left="2520" w:hanging="360"/>
      <w:contextualSpacing/>
      <w:jc w:val="left"/>
    </w:pPr>
    <w:rPr>
      <w:rFonts w:ascii="Arial" w:hAnsi="Arial" w:cs="Arial" w:eastAsia="Calibri"/>
      <w:color w:val="auto"/>
      <w:spacing w:val="-5"/>
      <w:kern w:val="0"/>
      <w:sz w:val="20"/>
      <w:szCs w:val="20"/>
      <w:lang w:val="ru-RU" w:eastAsia="ru-RU" w:bidi="ar-SA"/>
    </w:rPr>
  </w:style>
  <w:style w:type="paragraph" w:styleId="38">
    <w:name w:val="Маркированный список 3"/>
    <w:qFormat/>
    <w:pPr>
      <w:widowControl/>
      <w:tabs>
        <w:tab w:val="clear" w:pos="709"/>
        <w:tab w:val="left" w:pos="360" w:leader="none"/>
      </w:tabs>
      <w:bidi w:val="0"/>
      <w:spacing w:lineRule="atLeast" w:line="240" w:before="0" w:after="240"/>
      <w:ind w:left="2160" w:hanging="360"/>
      <w:contextualSpacing/>
      <w:jc w:val="left"/>
    </w:pPr>
    <w:rPr>
      <w:rFonts w:ascii="Arial" w:hAnsi="Arial" w:cs="Arial" w:eastAsia="Calibri"/>
      <w:color w:val="auto"/>
      <w:spacing w:val="-5"/>
      <w:kern w:val="0"/>
      <w:sz w:val="20"/>
      <w:szCs w:val="20"/>
      <w:lang w:val="ru-RU" w:eastAsia="ru-RU" w:bidi="ar-SA"/>
    </w:rPr>
  </w:style>
  <w:style w:type="paragraph" w:styleId="211">
    <w:name w:val="Маркированный список 2"/>
    <w:qFormat/>
    <w:pPr>
      <w:widowControl/>
      <w:tabs>
        <w:tab w:val="clear" w:pos="709"/>
        <w:tab w:val="left" w:pos="360" w:leader="none"/>
      </w:tabs>
      <w:bidi w:val="0"/>
      <w:spacing w:lineRule="atLeast" w:line="240" w:before="0" w:after="240"/>
      <w:ind w:left="1800" w:hanging="360"/>
      <w:contextualSpacing/>
      <w:jc w:val="left"/>
    </w:pPr>
    <w:rPr>
      <w:rFonts w:ascii="Arial" w:hAnsi="Arial" w:cs="Arial" w:eastAsia="Calibri"/>
      <w:color w:val="auto"/>
      <w:spacing w:val="-5"/>
      <w:kern w:val="0"/>
      <w:sz w:val="20"/>
      <w:szCs w:val="20"/>
      <w:lang w:val="ru-RU" w:eastAsia="ru-RU" w:bidi="ar-SA"/>
    </w:rPr>
  </w:style>
  <w:style w:type="paragraph" w:styleId="Style74">
    <w:name w:val="Цитата"/>
    <w:basedOn w:val="Normal"/>
    <w:qFormat/>
    <w:pPr>
      <w:spacing w:lineRule="auto" w:line="360"/>
      <w:ind w:left="526" w:right="43" w:hanging="0"/>
    </w:pPr>
    <w:rPr>
      <w:sz w:val="28"/>
      <w:szCs w:val="28"/>
    </w:rPr>
  </w:style>
  <w:style w:type="paragraph" w:styleId="39">
    <w:name w:val="Основной текст 3"/>
    <w:basedOn w:val="Normal"/>
    <w:qFormat/>
    <w:pPr>
      <w:spacing w:lineRule="auto" w:line="360" w:before="0" w:after="120"/>
      <w:ind w:firstLine="680"/>
    </w:pPr>
    <w:rPr>
      <w:sz w:val="16"/>
      <w:szCs w:val="16"/>
    </w:rPr>
  </w:style>
  <w:style w:type="paragraph" w:styleId="Style75">
    <w:name w:val="Маркированный список"/>
    <w:basedOn w:val="Normal"/>
    <w:qFormat/>
    <w:pPr>
      <w:spacing w:lineRule="auto" w:line="360" w:before="0" w:after="0"/>
      <w:ind w:left="1571" w:hanging="360"/>
      <w:contextualSpacing/>
    </w:pPr>
    <w:rPr/>
  </w:style>
  <w:style w:type="paragraph" w:styleId="Style76">
    <w:name w:val="Выделенная цитата"/>
    <w:basedOn w:val="Normal"/>
    <w:qFormat/>
    <w:pPr>
      <w:pBdr>
        <w:top w:val="single" w:sz="12" w:space="10" w:color="B8CCE4"/>
        <w:left w:val="single" w:sz="36" w:space="4" w:color="4F81BD"/>
        <w:bottom w:val="single" w:sz="24" w:space="10" w:color="9BBB59"/>
        <w:right w:val="single" w:sz="36" w:space="4" w:color="4F81BD"/>
      </w:pBdr>
      <w:shd w:fill="4F81BD"/>
      <w:spacing w:lineRule="auto" w:line="300" w:before="320" w:after="320"/>
      <w:ind w:left="1440" w:right="1440" w:firstLine="680"/>
    </w:pPr>
    <w:rPr>
      <w:rFonts w:ascii="Cambria" w:hAnsi="Cambria" w:cs="Cambria"/>
      <w:i/>
      <w:iCs/>
      <w:color w:val="F4F4F4"/>
    </w:rPr>
  </w:style>
  <w:style w:type="paragraph" w:styleId="212">
    <w:name w:val="Цитата 2"/>
    <w:basedOn w:val="Normal"/>
    <w:qFormat/>
    <w:pPr>
      <w:spacing w:lineRule="auto" w:line="360"/>
      <w:ind w:firstLine="680"/>
    </w:pPr>
    <w:rPr>
      <w:rFonts w:ascii="Cambria" w:hAnsi="Cambria" w:cs="Cambria"/>
      <w:i/>
      <w:iCs/>
      <w:color w:val="5A5A5A"/>
    </w:rPr>
  </w:style>
  <w:style w:type="paragraph" w:styleId="Style77">
    <w:name w:val="Без интервала"/>
    <w:basedOn w:val="Normal"/>
    <w:qFormat/>
    <w:pPr>
      <w:spacing w:lineRule="auto" w:line="360"/>
      <w:ind w:firstLine="680"/>
    </w:pPr>
    <w:rPr/>
  </w:style>
  <w:style w:type="paragraph" w:styleId="101">
    <w:name w:val="Табличный_заголовки_10"/>
    <w:qFormat/>
    <w:pPr>
      <w:widowControl/>
      <w:bidi w:val="0"/>
      <w:spacing w:before="120" w:after="60"/>
      <w:ind w:firstLine="567"/>
      <w:jc w:val="center"/>
    </w:pPr>
    <w:rPr>
      <w:rFonts w:ascii="Calibri" w:hAnsi="Calibri" w:eastAsia="Calibri" w:cs="Times New Roman"/>
      <w:b/>
      <w:color w:val="auto"/>
      <w:kern w:val="0"/>
      <w:sz w:val="20"/>
      <w:szCs w:val="22"/>
      <w:lang w:val="ru-RU" w:eastAsia="ru-RU" w:bidi="ar-SA"/>
    </w:rPr>
  </w:style>
  <w:style w:type="paragraph" w:styleId="102">
    <w:name w:val="Табличный_нумерованный_10"/>
    <w:basedOn w:val="Normal"/>
    <w:qFormat/>
    <w:pPr>
      <w:ind w:firstLine="709"/>
    </w:pPr>
    <w:rPr/>
  </w:style>
  <w:style w:type="paragraph" w:styleId="103">
    <w:name w:val="Табличный_по ширине_10"/>
    <w:basedOn w:val="Normal"/>
    <w:qFormat/>
    <w:pPr>
      <w:ind w:firstLine="709"/>
    </w:pPr>
    <w:rPr/>
  </w:style>
  <w:style w:type="paragraph" w:styleId="104">
    <w:name w:val="Табличный_слева_10"/>
    <w:basedOn w:val="Normal"/>
    <w:qFormat/>
    <w:pPr>
      <w:ind w:firstLine="709"/>
    </w:pPr>
    <w:rPr/>
  </w:style>
  <w:style w:type="paragraph" w:styleId="Style78">
    <w:name w:val="Табличный_по ширине"/>
    <w:qFormat/>
    <w:pPr>
      <w:widowControl/>
      <w:bidi w:val="0"/>
      <w:spacing w:before="0" w:after="0"/>
      <w:ind w:firstLine="709"/>
      <w:jc w:val="left"/>
    </w:pPr>
    <w:rPr>
      <w:rFonts w:ascii="Calibri" w:hAnsi="Calibri" w:eastAsia="Calibri" w:cs="Times New Roman"/>
      <w:color w:val="auto"/>
      <w:kern w:val="0"/>
      <w:sz w:val="20"/>
      <w:szCs w:val="20"/>
      <w:lang w:val="ru-RU" w:eastAsia="ru-RU" w:bidi="ar-SA"/>
    </w:rPr>
  </w:style>
  <w:style w:type="paragraph" w:styleId="Style79">
    <w:name w:val="Обычный влево"/>
    <w:qFormat/>
    <w:pPr>
      <w:widowControl/>
      <w:bidi w:val="0"/>
      <w:spacing w:before="0" w:after="0"/>
      <w:ind w:hanging="0"/>
      <w:jc w:val="left"/>
    </w:pPr>
    <w:rPr>
      <w:rFonts w:ascii="Calibri" w:hAnsi="Calibri" w:eastAsia="Calibri" w:cs="Times New Roman"/>
      <w:color w:val="auto"/>
      <w:kern w:val="0"/>
      <w:sz w:val="22"/>
      <w:szCs w:val="22"/>
      <w:lang w:val="ru-RU" w:eastAsia="ru-RU" w:bidi="ar-SA"/>
    </w:rPr>
  </w:style>
  <w:style w:type="paragraph" w:styleId="18">
    <w:name w:val="Обычный 1"/>
    <w:basedOn w:val="Normal"/>
    <w:qFormat/>
    <w:pPr>
      <w:tabs>
        <w:tab w:val="clear" w:pos="709"/>
        <w:tab w:val="left" w:pos="360" w:leader="none"/>
      </w:tabs>
      <w:spacing w:before="120" w:after="0"/>
      <w:ind w:left="360" w:hanging="360"/>
    </w:pPr>
    <w:rPr/>
  </w:style>
  <w:style w:type="paragraph" w:styleId="Style80">
    <w:name w:val="Табличный_слева"/>
    <w:basedOn w:val="Normal"/>
    <w:qFormat/>
    <w:pPr>
      <w:ind w:firstLine="709"/>
    </w:pPr>
    <w:rPr>
      <w:sz w:val="22"/>
      <w:szCs w:val="22"/>
    </w:rPr>
  </w:style>
  <w:style w:type="paragraph" w:styleId="Style81">
    <w:name w:val="Список а)"/>
    <w:qFormat/>
    <w:pPr>
      <w:widowControl/>
      <w:bidi w:val="0"/>
      <w:spacing w:before="0" w:after="0"/>
      <w:ind w:firstLine="709"/>
      <w:jc w:val="left"/>
    </w:pPr>
    <w:rPr>
      <w:rFonts w:cs="Arial" w:ascii="Calibri" w:hAnsi="Calibri" w:eastAsia="Calibri"/>
      <w:color w:val="auto"/>
      <w:kern w:val="0"/>
      <w:sz w:val="20"/>
      <w:szCs w:val="20"/>
      <w:lang w:val="ru-RU" w:eastAsia="ru-RU" w:bidi="ar-SA"/>
    </w:rPr>
  </w:style>
  <w:style w:type="paragraph" w:styleId="Style82">
    <w:name w:val="Требования"/>
    <w:basedOn w:val="Normal"/>
    <w:qFormat/>
    <w:pPr>
      <w:spacing w:before="120" w:after="60"/>
      <w:ind w:firstLine="567"/>
    </w:pPr>
    <w:rPr>
      <w:bCs/>
      <w:i/>
      <w:iCs/>
    </w:rPr>
  </w:style>
  <w:style w:type="paragraph" w:styleId="Style83">
    <w:name w:val="Тема примечания"/>
    <w:qFormat/>
    <w:pPr>
      <w:widowControl/>
      <w:bidi w:val="0"/>
      <w:spacing w:before="0" w:after="0"/>
      <w:ind w:firstLine="284"/>
      <w:jc w:val="left"/>
    </w:pPr>
    <w:rPr>
      <w:rFonts w:ascii="Calibri" w:hAnsi="Calibri" w:eastAsia="Calibri" w:cs="Times New Roman"/>
      <w:b/>
      <w:bCs/>
      <w:color w:val="auto"/>
      <w:kern w:val="0"/>
      <w:sz w:val="22"/>
      <w:szCs w:val="22"/>
      <w:lang w:val="ru-RU" w:eastAsia="ru-RU" w:bidi="ar-SA"/>
    </w:rPr>
  </w:style>
  <w:style w:type="paragraph" w:styleId="Style84">
    <w:name w:val="Текст примечания"/>
    <w:basedOn w:val="Normal"/>
    <w:qFormat/>
    <w:pPr>
      <w:ind w:firstLine="709"/>
    </w:pPr>
    <w:rPr/>
  </w:style>
  <w:style w:type="paragraph" w:styleId="Style85">
    <w:name w:val="Заголовок таблицы ссылок"/>
    <w:basedOn w:val="Normal"/>
    <w:qFormat/>
    <w:pPr>
      <w:spacing w:before="40" w:after="20"/>
      <w:ind w:firstLine="709"/>
      <w:jc w:val="center"/>
    </w:pPr>
    <w:rPr>
      <w:b/>
      <w:sz w:val="22"/>
    </w:rPr>
  </w:style>
  <w:style w:type="paragraph" w:styleId="Style86">
    <w:name w:val="Табличный_нумерованный"/>
    <w:basedOn w:val="Normal"/>
    <w:qFormat/>
    <w:pPr>
      <w:ind w:firstLine="709"/>
    </w:pPr>
    <w:rPr>
      <w:sz w:val="22"/>
      <w:szCs w:val="22"/>
    </w:rPr>
  </w:style>
  <w:style w:type="paragraph" w:styleId="19">
    <w:name w:val="Список 1)"/>
    <w:basedOn w:val="Normal"/>
    <w:qFormat/>
    <w:pPr>
      <w:spacing w:before="0" w:after="60"/>
      <w:ind w:firstLine="709"/>
    </w:pPr>
    <w:rPr/>
  </w:style>
  <w:style w:type="paragraph" w:styleId="Style87">
    <w:name w:val="Табличный_заголовки"/>
    <w:basedOn w:val="Normal"/>
    <w:qFormat/>
    <w:pPr>
      <w:keepNext w:val="true"/>
      <w:keepLines/>
      <w:ind w:firstLine="709"/>
      <w:jc w:val="center"/>
    </w:pPr>
    <w:rPr>
      <w:b/>
    </w:rPr>
  </w:style>
  <w:style w:type="paragraph" w:styleId="Style88">
    <w:name w:val="Название объекта"/>
    <w:basedOn w:val="Normal"/>
    <w:qFormat/>
    <w:pPr>
      <w:spacing w:before="120" w:after="120"/>
      <w:ind w:firstLine="709"/>
      <w:jc w:val="center"/>
    </w:pPr>
    <w:rPr>
      <w:b/>
      <w:bCs/>
      <w:sz w:val="22"/>
    </w:rPr>
  </w:style>
  <w:style w:type="paragraph" w:styleId="Style89">
    <w:name w:val="Содержание"/>
    <w:basedOn w:val="Normal"/>
    <w:qFormat/>
    <w:pPr>
      <w:widowControl w:val="false"/>
      <w:spacing w:before="240" w:after="240"/>
      <w:ind w:firstLine="709"/>
      <w:jc w:val="center"/>
    </w:pPr>
    <w:rPr>
      <w:b/>
      <w:caps/>
    </w:rPr>
  </w:style>
  <w:style w:type="paragraph" w:styleId="Style90">
    <w:name w:val="Табличный"/>
    <w:basedOn w:val="Normal"/>
    <w:qFormat/>
    <w:pPr>
      <w:keepNext w:val="true"/>
      <w:widowControl w:val="false"/>
      <w:spacing w:before="60" w:after="60"/>
      <w:ind w:firstLine="709"/>
      <w:jc w:val="center"/>
    </w:pPr>
    <w:rPr>
      <w:b/>
      <w:sz w:val="22"/>
    </w:rPr>
  </w:style>
  <w:style w:type="paragraph" w:styleId="Style91">
    <w:name w:val="Список нумерованный"/>
    <w:basedOn w:val="Normal"/>
    <w:qFormat/>
    <w:pPr>
      <w:spacing w:before="120" w:after="0"/>
      <w:ind w:firstLine="709"/>
    </w:pPr>
    <w:rPr/>
  </w:style>
  <w:style w:type="paragraph" w:styleId="Style92">
    <w:name w:val="Знак"/>
    <w:basedOn w:val="Normal"/>
    <w:qFormat/>
    <w:pPr>
      <w:spacing w:lineRule="exact" w:line="240" w:before="0" w:after="160"/>
      <w:ind w:firstLine="709"/>
    </w:pPr>
    <w:rPr>
      <w:sz w:val="28"/>
      <w:szCs w:val="28"/>
      <w:lang w:val="en-US"/>
    </w:rPr>
  </w:style>
  <w:style w:type="paragraph" w:styleId="Style93">
    <w:name w:val="Абзац списка"/>
    <w:basedOn w:val="Normal"/>
    <w:qFormat/>
    <w:pPr>
      <w:spacing w:lineRule="auto" w:line="276" w:before="0" w:after="200"/>
      <w:ind w:left="720" w:hanging="0"/>
    </w:pPr>
    <w:rPr>
      <w:rFonts w:ascii="Calibri" w:hAnsi="Calibri" w:cs="Calibri"/>
      <w:sz w:val="22"/>
      <w:szCs w:val="22"/>
    </w:rPr>
  </w:style>
  <w:style w:type="paragraph" w:styleId="Style94">
    <w:name w:val="Знак Знак Знак Знак Знак Знак Знак"/>
    <w:basedOn w:val="Normal"/>
    <w:qFormat/>
    <w:pPr>
      <w:spacing w:lineRule="exact" w:line="240" w:before="0" w:after="160"/>
      <w:ind w:firstLine="709"/>
    </w:pPr>
    <w:rPr>
      <w:sz w:val="28"/>
      <w:szCs w:val="28"/>
      <w:lang w:val="en-US"/>
    </w:rPr>
  </w:style>
  <w:style w:type="paragraph" w:styleId="Style95">
    <w:name w:val="Текст выноски"/>
    <w:basedOn w:val="Normal"/>
    <w:qFormat/>
    <w:pPr>
      <w:ind w:firstLine="709"/>
    </w:pPr>
    <w:rPr>
      <w:rFonts w:ascii="Tahoma" w:hAnsi="Tahoma" w:cs="Tahoma"/>
      <w:sz w:val="16"/>
      <w:szCs w:val="16"/>
    </w:rPr>
  </w:style>
  <w:style w:type="paragraph" w:styleId="Style96">
    <w:name w:val="Схема документа"/>
    <w:basedOn w:val="Normal"/>
    <w:qFormat/>
    <w:pPr>
      <w:ind w:firstLine="709"/>
    </w:pPr>
    <w:rPr>
      <w:rFonts w:ascii="Tahoma" w:hAnsi="Tahoma" w:cs="Tahoma"/>
      <w:sz w:val="16"/>
      <w:szCs w:val="16"/>
    </w:rPr>
  </w:style>
  <w:style w:type="paragraph" w:styleId="310">
    <w:name w:val="Основной текст с отступом 3"/>
    <w:basedOn w:val="Normal"/>
    <w:qFormat/>
    <w:pPr>
      <w:spacing w:before="0" w:after="120"/>
      <w:ind w:left="283" w:hanging="0"/>
    </w:pPr>
    <w:rPr>
      <w:sz w:val="16"/>
      <w:szCs w:val="16"/>
    </w:rPr>
  </w:style>
  <w:style w:type="paragraph" w:styleId="213">
    <w:name w:val="Основной текст с отступом 2"/>
    <w:basedOn w:val="Normal"/>
    <w:qFormat/>
    <w:pPr>
      <w:spacing w:lineRule="auto" w:line="480" w:before="0" w:after="120"/>
      <w:ind w:left="283" w:hanging="0"/>
    </w:pPr>
    <w:rPr/>
  </w:style>
  <w:style w:type="paragraph" w:styleId="ConsPlusCell">
    <w:name w:val="ConsPlusCell"/>
    <w:qFormat/>
    <w:pPr>
      <w:widowControl w:val="false"/>
      <w:suppressAutoHyphens w:val="true"/>
      <w:bidi w:val="0"/>
      <w:spacing w:before="0" w:after="0"/>
      <w:ind w:firstLine="709"/>
      <w:jc w:val="both"/>
    </w:pPr>
    <w:rPr>
      <w:rFonts w:ascii="Arial" w:hAnsi="Arial" w:eastAsia="Times New Roman" w:cs="Arial"/>
      <w:color w:val="auto"/>
      <w:kern w:val="2"/>
      <w:sz w:val="20"/>
      <w:szCs w:val="20"/>
      <w:lang w:val="ru-RU" w:eastAsia="zh-CN" w:bidi="ar-SA"/>
    </w:rPr>
  </w:style>
  <w:style w:type="paragraph" w:styleId="Style97">
    <w:name w:val="Прижатый влево"/>
    <w:basedOn w:val="Normal"/>
    <w:qFormat/>
    <w:pPr>
      <w:widowControl w:val="false"/>
      <w:ind w:firstLine="709"/>
    </w:pPr>
    <w:rPr>
      <w:rFonts w:ascii="Arial" w:hAnsi="Arial" w:cs="Arial"/>
    </w:rPr>
  </w:style>
  <w:style w:type="paragraph" w:styleId="Style98">
    <w:name w:val="Нормальный (таблица)"/>
    <w:basedOn w:val="Normal"/>
    <w:qFormat/>
    <w:pPr>
      <w:widowControl w:val="false"/>
      <w:ind w:firstLine="709"/>
    </w:pPr>
    <w:rPr>
      <w:rFonts w:ascii="Arial" w:hAnsi="Arial" w:cs="Arial"/>
    </w:rPr>
  </w:style>
  <w:style w:type="paragraph" w:styleId="Iniiaiieoaeno2">
    <w:name w:val="Iniiaiie oaeno 2"/>
    <w:basedOn w:val="Normal"/>
    <w:qFormat/>
    <w:pPr>
      <w:widowControl w:val="false"/>
      <w:ind w:firstLine="567"/>
    </w:pPr>
    <w:rPr>
      <w:b/>
      <w:bCs/>
      <w:color w:val="000000"/>
    </w:rPr>
  </w:style>
  <w:style w:type="paragraph" w:styleId="Style99">
    <w:name w:val="Обычный (Интернет)"/>
    <w:basedOn w:val="Normal"/>
    <w:qFormat/>
    <w:pPr>
      <w:spacing w:before="100" w:after="100"/>
      <w:ind w:firstLine="709"/>
    </w:pPr>
    <w:rPr/>
  </w:style>
  <w:style w:type="paragraph" w:styleId="Iauiue">
    <w:name w:val="Iau?iue"/>
    <w:qFormat/>
    <w:pPr>
      <w:widowControl w:val="false"/>
      <w:suppressAutoHyphens w:val="true"/>
      <w:bidi w:val="0"/>
      <w:spacing w:before="0" w:after="0"/>
      <w:ind w:firstLine="709"/>
      <w:jc w:val="both"/>
    </w:pPr>
    <w:rPr>
      <w:rFonts w:ascii="Times New Roman" w:hAnsi="Times New Roman" w:eastAsia="Times New Roman" w:cs="Times New Roman"/>
      <w:color w:val="auto"/>
      <w:kern w:val="2"/>
      <w:sz w:val="20"/>
      <w:szCs w:val="20"/>
      <w:lang w:val="ru-RU" w:eastAsia="zh-CN" w:bidi="ar-SA"/>
    </w:rPr>
  </w:style>
  <w:style w:type="paragraph" w:styleId="Style100">
    <w:name w:val="Îáû÷íûé"/>
    <w:qFormat/>
    <w:pPr>
      <w:widowControl w:val="false"/>
      <w:suppressAutoHyphens w:val="true"/>
      <w:bidi w:val="0"/>
      <w:spacing w:before="0" w:after="0"/>
      <w:ind w:firstLine="709"/>
      <w:jc w:val="both"/>
    </w:pPr>
    <w:rPr>
      <w:rFonts w:ascii="Times New Roman" w:hAnsi="Times New Roman" w:eastAsia="Times New Roman" w:cs="Times New Roman"/>
      <w:color w:val="auto"/>
      <w:kern w:val="2"/>
      <w:sz w:val="28"/>
      <w:szCs w:val="28"/>
      <w:lang w:val="ru-RU" w:eastAsia="zh-CN" w:bidi="ar-SA"/>
    </w:rPr>
  </w:style>
  <w:style w:type="paragraph" w:styleId="214">
    <w:name w:val="Основной текст 2"/>
    <w:basedOn w:val="Normal"/>
    <w:qFormat/>
    <w:pPr>
      <w:spacing w:lineRule="auto" w:line="480" w:before="0" w:after="120"/>
      <w:ind w:firstLine="709"/>
    </w:pPr>
    <w:rPr/>
  </w:style>
  <w:style w:type="paragraph" w:styleId="Style101">
    <w:name w:val="основной"/>
    <w:basedOn w:val="Normal"/>
    <w:qFormat/>
    <w:pPr>
      <w:keepNext w:val="true"/>
      <w:ind w:firstLine="709"/>
    </w:pPr>
    <w:rPr/>
  </w:style>
  <w:style w:type="paragraph" w:styleId="ConsPlusTitle">
    <w:name w:val="ConsPlusTitle"/>
    <w:qFormat/>
    <w:pPr>
      <w:widowControl w:val="false"/>
      <w:suppressAutoHyphens w:val="true"/>
      <w:bidi w:val="0"/>
      <w:spacing w:before="0" w:after="0"/>
      <w:ind w:firstLine="709"/>
      <w:jc w:val="both"/>
    </w:pPr>
    <w:rPr>
      <w:rFonts w:ascii="Arial" w:hAnsi="Arial" w:eastAsia="Times New Roman" w:cs="Arial"/>
      <w:b/>
      <w:bCs/>
      <w:color w:val="auto"/>
      <w:kern w:val="2"/>
      <w:sz w:val="20"/>
      <w:szCs w:val="20"/>
      <w:lang w:val="ru-RU" w:eastAsia="zh-CN" w:bidi="ar-SA"/>
    </w:rPr>
  </w:style>
  <w:style w:type="paragraph" w:styleId="ConsPlusNonformat">
    <w:name w:val="ConsPlusNonformat"/>
    <w:qFormat/>
    <w:pPr>
      <w:widowControl w:val="false"/>
      <w:suppressAutoHyphens w:val="true"/>
      <w:bidi w:val="0"/>
      <w:spacing w:before="0" w:after="0"/>
      <w:ind w:firstLine="709"/>
      <w:jc w:val="both"/>
    </w:pPr>
    <w:rPr>
      <w:rFonts w:ascii="Courier New" w:hAnsi="Courier New" w:eastAsia="Times New Roman" w:cs="Courier New"/>
      <w:color w:val="auto"/>
      <w:kern w:val="2"/>
      <w:sz w:val="20"/>
      <w:szCs w:val="20"/>
      <w:lang w:val="ru-RU" w:eastAsia="zh-CN" w:bidi="ar-SA"/>
    </w:rPr>
  </w:style>
  <w:style w:type="paragraph" w:styleId="ConsNormal">
    <w:name w:val="ConsNormal"/>
    <w:qFormat/>
    <w:pPr>
      <w:widowControl w:val="false"/>
      <w:suppressAutoHyphens w:val="true"/>
      <w:bidi w:val="0"/>
      <w:spacing w:before="0" w:after="0"/>
      <w:ind w:right="19772" w:firstLine="720"/>
      <w:jc w:val="both"/>
    </w:pPr>
    <w:rPr>
      <w:rFonts w:ascii="Arial" w:hAnsi="Arial" w:eastAsia="Times New Roman" w:cs="Arial"/>
      <w:color w:val="auto"/>
      <w:kern w:val="2"/>
      <w:sz w:val="20"/>
      <w:szCs w:val="20"/>
      <w:lang w:val="ru-RU" w:eastAsia="zh-CN" w:bidi="ar-SA"/>
    </w:rPr>
  </w:style>
  <w:style w:type="numbering" w:styleId="NoList" w:default="1">
    <w:name w:val="No List"/>
    <w:uiPriority w:val="99"/>
    <w:semiHidden/>
    <w:unhideWhenUsed/>
    <w:qFormat/>
  </w:style>
  <w:style w:type="numbering" w:styleId="11111117" w:customStyle="1">
    <w:name w:val="1 / 1.1 / 1.1.117"/>
    <w:qFormat/>
    <w:rsid w:val="00b16f18"/>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99"/>
    <w:rsid w:val="009e2717"/>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consultantplus://offline/ref=5D7F7F2D6C4AB9C8F8B138B0FDD4434FB4AD7DE406574A88600AFA215F41F889C5D4A7FC0D14A859F0AAE" TargetMode="External"/><Relationship Id="rId17" Type="http://schemas.openxmlformats.org/officeDocument/2006/relationships/hyperlink" Target="consultantplus://offline/ref=5D7F7F2D6C4AB9C8F8B138B0FDD4434FB4AD7DE406574A88600AFA215F41F889C5D4A7FC0D14A859F0ABE" TargetMode="External"/><Relationship Id="rId18" Type="http://schemas.openxmlformats.org/officeDocument/2006/relationships/hyperlink" Target="consultantplus://offline/ref=5D7F7F2D6C4AB9C8F8B138B0FDD4434FB4AD7DE406574A88600AFA215F41F889C5D4A7FC0D14A859F0A6E" TargetMode="External"/><Relationship Id="rId19" Type="http://schemas.openxmlformats.org/officeDocument/2006/relationships/footer" Target="footer1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354</TotalTime>
  <Application>LibreOffice/7.1.2.2$Windows_X86_64 LibreOffice_project/8a45595d069ef5570103caea1b71cc9d82b2aae4</Application>
  <AppVersion>15.0000</AppVersion>
  <Pages>67</Pages>
  <Words>18633</Words>
  <Characters>130538</Characters>
  <CharactersWithSpaces>147195</CharactersWithSpaces>
  <Paragraphs>2089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
  <dc:language>ru-RU</dc:language>
  <cp:lastModifiedBy/>
  <dcterms:modified xsi:type="dcterms:W3CDTF">2023-10-17T15:27:30Z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file>