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CB" w:rsidRDefault="00DB2ACB">
      <w:pPr>
        <w:pStyle w:val="Heading5"/>
        <w:jc w:val="center"/>
        <w:rPr>
          <w:b/>
          <w:sz w:val="28"/>
          <w:szCs w:val="28"/>
        </w:rPr>
      </w:pPr>
    </w:p>
    <w:p w:rsidR="00DB2ACB" w:rsidRDefault="00DB2ACB">
      <w:pPr>
        <w:pStyle w:val="Heading5"/>
        <w:jc w:val="center"/>
        <w:rPr>
          <w:b/>
          <w:sz w:val="28"/>
          <w:szCs w:val="28"/>
        </w:rPr>
      </w:pPr>
    </w:p>
    <w:p w:rsidR="00DB2ACB" w:rsidRDefault="00F507AB">
      <w:pPr>
        <w:pStyle w:val="Heading5"/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71195" cy="760095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CB" w:rsidRDefault="00F50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Контрольно-счетная палата</w:t>
      </w:r>
    </w:p>
    <w:p w:rsidR="00DB2ACB" w:rsidRDefault="00F507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города Новоалтайска  Алтайского края</w:t>
      </w:r>
    </w:p>
    <w:p w:rsidR="00DB2ACB" w:rsidRDefault="00DB2ACB">
      <w:pPr>
        <w:ind w:right="850"/>
        <w:jc w:val="right"/>
        <w:rPr>
          <w:b/>
          <w:sz w:val="28"/>
          <w:szCs w:val="28"/>
        </w:rPr>
      </w:pPr>
    </w:p>
    <w:p w:rsidR="00DB2ACB" w:rsidRDefault="00DB2ACB">
      <w:pPr>
        <w:jc w:val="right"/>
        <w:rPr>
          <w:sz w:val="24"/>
          <w:szCs w:val="24"/>
        </w:rPr>
      </w:pPr>
    </w:p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DB2ACB"/>
    <w:p w:rsidR="00DB2ACB" w:rsidRDefault="00F507AB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DB2ACB" w:rsidRDefault="00F507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Контрольно-счетной палаты</w:t>
      </w:r>
    </w:p>
    <w:p w:rsidR="00DB2ACB" w:rsidRDefault="00F507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Новоалтайска Алтайского края</w:t>
      </w:r>
    </w:p>
    <w:p w:rsidR="00DB2ACB" w:rsidRDefault="00F507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DB2A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CB" w:rsidRDefault="00F507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Новоалтайск </w:t>
      </w:r>
    </w:p>
    <w:p w:rsidR="00DB2ACB" w:rsidRDefault="00F507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</w:t>
      </w:r>
    </w:p>
    <w:p w:rsidR="00DB2ACB" w:rsidRDefault="00F507A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Контрольно-счетной палаты города Новоалтайска Алтайского края (далее – Контрольно-счетная палата) за 2022 год подготовлен в соответствии с Федеральным законом от 07.02.2011 № 6-ФЗ «Об общих принципах организации и деятельности контроль</w:t>
      </w:r>
      <w:r>
        <w:rPr>
          <w:sz w:val="28"/>
          <w:szCs w:val="28"/>
        </w:rPr>
        <w:t>но-счетных органов субъектов Российской Федерации и муниципальных образований» (далее – Федеральный закон № 6-ФЗ), а также с п.2 ст. 20 Положения «О Контрольно-счетной палате города Новоалтайска Алтайского края», утвержденного решением Новоалтайского город</w:t>
      </w:r>
      <w:r>
        <w:rPr>
          <w:sz w:val="28"/>
          <w:szCs w:val="28"/>
        </w:rPr>
        <w:t xml:space="preserve">ского Собрания депутатов от 21.12.2021 № 38 (далее – Положение о Контрольно-счетной палате). 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Отчете отражены результаты деятельности Контрольно-счетной палаты по выполнению возложенных задач и реализации полномочий, определенных законодательством.</w:t>
      </w:r>
    </w:p>
    <w:p w:rsidR="00DB2ACB" w:rsidRDefault="00DB2ACB">
      <w:pPr>
        <w:ind w:firstLine="540"/>
        <w:jc w:val="both"/>
        <w:rPr>
          <w:b/>
          <w:sz w:val="28"/>
          <w:szCs w:val="28"/>
        </w:rPr>
      </w:pPr>
    </w:p>
    <w:p w:rsidR="00DB2ACB" w:rsidRPr="00F32566" w:rsidRDefault="00F507AB">
      <w:pPr>
        <w:ind w:firstLine="225"/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r w:rsidRPr="00F32566">
        <w:rPr>
          <w:rStyle w:val="a4"/>
          <w:rFonts w:ascii="Times New Roman" w:hAnsi="Times New Roman"/>
          <w:bCs w:val="0"/>
          <w:sz w:val="28"/>
          <w:szCs w:val="28"/>
        </w:rPr>
        <w:t xml:space="preserve">1. </w:t>
      </w:r>
      <w:r w:rsidRPr="00F32566">
        <w:rPr>
          <w:rStyle w:val="a4"/>
          <w:rFonts w:ascii="Times New Roman" w:hAnsi="Times New Roman"/>
          <w:bCs w:val="0"/>
          <w:sz w:val="28"/>
          <w:szCs w:val="28"/>
        </w:rPr>
        <w:t>Основные задачи и правовое регулирование деятельности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 является постоянно действующим органом внешнего муниципального финансового контроля, является органом  местного самоуправления города Новоалтайска.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орган</w:t>
      </w:r>
      <w:r>
        <w:rPr>
          <w:sz w:val="28"/>
          <w:szCs w:val="28"/>
        </w:rPr>
        <w:t>изации и деятельности Контрольно-счетной палаты основывается на Конституции Российской Федерации, Бюджетном кодексе Российской Федерации, Федеральном законе от 06.10.2003 № 131-ФЗ «Об общих принципах организации местного самоуправления в Российской Федерац</w:t>
      </w:r>
      <w:r>
        <w:rPr>
          <w:sz w:val="28"/>
          <w:szCs w:val="28"/>
        </w:rPr>
        <w:t>ии», Федеральном законе № 6-ФЗ «Об общих принципах организации и деятельности контрольно - счетных органов субъектов Российской Федерации и муниципальных образований» и других нормативных правовых актах.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палата, осуществляя свои полномоч</w:t>
      </w:r>
      <w:r>
        <w:rPr>
          <w:sz w:val="28"/>
          <w:szCs w:val="28"/>
        </w:rPr>
        <w:t>ия в области внешнего муниципального финансового контроля, основывается на принципах законности, объективности, эффективности, независимости, открытости и гласности.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задач Контрольно-счетная палата осуществляла контрольную, экспертно-</w:t>
      </w:r>
      <w:r>
        <w:rPr>
          <w:sz w:val="28"/>
          <w:szCs w:val="28"/>
        </w:rPr>
        <w:t xml:space="preserve">аналитическую, информационную и иную деятельность, обеспечивая единую систему контроля за принятием и исполнением бюджета города Новоалтайска. 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Контрольно-счетной палаты в отчетном периоде заключались в контроле за исполнением бюджета город</w:t>
      </w:r>
      <w:r>
        <w:rPr>
          <w:sz w:val="28"/>
          <w:szCs w:val="28"/>
        </w:rPr>
        <w:t>а Новоалтайска  (далее – местный бюджет), а также за соблюдением установленного порядка подготовки и рассмотрения проекта местного бюджета, отчета о его исполнении, в проверке законности и результативности использования средств местного бюджета и муниципал</w:t>
      </w:r>
      <w:r>
        <w:rPr>
          <w:sz w:val="28"/>
          <w:szCs w:val="28"/>
        </w:rPr>
        <w:t>ьной собственности.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Контрольно-счетной палаты в отчетном периоде осуществлялась в соответствии с Планом работы на 2022 год, утвержденным  приказом Контрольно-счетной палаты от 30.12.2021 № 6, с изменениями и дополнениями, вносимыми в течение г</w:t>
      </w:r>
      <w:r>
        <w:rPr>
          <w:sz w:val="28"/>
          <w:szCs w:val="28"/>
        </w:rPr>
        <w:t xml:space="preserve">ода. План работы Контрольно-счетной </w:t>
      </w:r>
      <w:r>
        <w:rPr>
          <w:sz w:val="28"/>
          <w:szCs w:val="28"/>
        </w:rPr>
        <w:lastRenderedPageBreak/>
        <w:t>палаты на 2022 год был сформирован исходя из необходимости реализации закрепленных за ней полномочий.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запланированные на 2022 год мероприятия исполнены в полном объеме.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 комплекс контрольных и эк</w:t>
      </w:r>
      <w:r>
        <w:rPr>
          <w:sz w:val="28"/>
          <w:szCs w:val="28"/>
        </w:rPr>
        <w:t>спертно-аналитических мероприятий, результаты которых позволили оценить действенность мер, принимаемых органами местного самоуправления, в части результативности (эффективности и экономности) использования муниципальных и иных ресурсов, направленных на реа</w:t>
      </w:r>
      <w:r>
        <w:rPr>
          <w:sz w:val="28"/>
          <w:szCs w:val="28"/>
        </w:rPr>
        <w:t xml:space="preserve">лизацию мероприятий муниципальных программ города Новоалтайска. 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Отчете за 2022 год отражены результаты контрольных и экспертно-аналитических мероприятий, определенных Планом работы Контрольно-счетной палаты на 2022 год.</w:t>
      </w:r>
    </w:p>
    <w:p w:rsidR="00DB2ACB" w:rsidRDefault="00DB2ACB">
      <w:pPr>
        <w:ind w:firstLine="709"/>
        <w:jc w:val="both"/>
        <w:rPr>
          <w:sz w:val="28"/>
          <w:szCs w:val="28"/>
        </w:rPr>
      </w:pPr>
    </w:p>
    <w:p w:rsidR="00DB2ACB" w:rsidRDefault="00F507AB">
      <w:pPr>
        <w:ind w:firstLine="567"/>
        <w:jc w:val="center"/>
      </w:pPr>
      <w:r>
        <w:rPr>
          <w:b/>
          <w:sz w:val="28"/>
          <w:szCs w:val="28"/>
        </w:rPr>
        <w:t>2. Основные итоги</w:t>
      </w:r>
      <w:r>
        <w:rPr>
          <w:b/>
          <w:sz w:val="28"/>
          <w:szCs w:val="28"/>
        </w:rPr>
        <w:t xml:space="preserve"> работы Контрольно-счетной палаты города Новоалтайска в 2022 году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Контрольно-счетной палатой в 2022 году проведено 67 контрольных и экспертно-аналитических мероприятий, а также финансово - экономических экспертиз проектов документов, из них: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 </w:t>
      </w:r>
      <w:r>
        <w:rPr>
          <w:sz w:val="28"/>
          <w:szCs w:val="28"/>
        </w:rPr>
        <w:t>контрольных мероприятий, в соответствии с утвержденным планом работы на 2022 год: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- 34 финансово-экономических экспертиз на проекты постановлений Администрации города Новоалтайска о вносимых изменениях в муниципальные программы.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- 18 экспертно-аналитически</w:t>
      </w:r>
      <w:r>
        <w:rPr>
          <w:sz w:val="28"/>
          <w:szCs w:val="28"/>
        </w:rPr>
        <w:t>х мероприятий на проекты решений Новоалтайского городского Собрания депутатов.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контрольных мероприятий проведена проверка исполнения инвестиционной программы ООО «Новоалтайскводоканал» по модернизации, реконструкции и развитию систем водоснабжения</w:t>
      </w:r>
      <w:r>
        <w:rPr>
          <w:sz w:val="28"/>
          <w:szCs w:val="28"/>
        </w:rPr>
        <w:t xml:space="preserve"> и водоотведения города Новоалтайска в 2020-2021 годах.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в отношении ООО «Новоалтайскводоканал»  рассматривались вопросы  исполнения обязательств Концессионного соглашения от 25.04.2018 №18-с.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Установлено:</w:t>
      </w:r>
    </w:p>
    <w:p w:rsidR="00DB2ACB" w:rsidRDefault="00F507AB">
      <w:pPr>
        <w:pStyle w:val="aa"/>
        <w:tabs>
          <w:tab w:val="left" w:pos="284"/>
          <w:tab w:val="left" w:pos="1399"/>
        </w:tabs>
        <w:ind w:right="-170" w:firstLine="737"/>
        <w:jc w:val="both"/>
        <w:rPr>
          <w:szCs w:val="28"/>
        </w:rPr>
      </w:pPr>
      <w:r>
        <w:rPr>
          <w:szCs w:val="28"/>
        </w:rPr>
        <w:t xml:space="preserve">По первому заданию </w:t>
      </w:r>
      <w:r>
        <w:rPr>
          <w:szCs w:val="28"/>
        </w:rPr>
        <w:t xml:space="preserve"> Концессионного соглашения - «Заменить аварийные участки водопровода общей протяженностью 1,32 км». Были реконструированы сети водопровода протяженностью 0,811км. Задание выполнено на 61,4%.</w:t>
      </w:r>
    </w:p>
    <w:p w:rsidR="00DB2ACB" w:rsidRDefault="00F507AB">
      <w:pPr>
        <w:pStyle w:val="aa"/>
        <w:tabs>
          <w:tab w:val="left" w:pos="284"/>
          <w:tab w:val="left" w:pos="1399"/>
        </w:tabs>
        <w:ind w:right="-170" w:firstLine="737"/>
        <w:jc w:val="both"/>
        <w:rPr>
          <w:szCs w:val="28"/>
        </w:rPr>
      </w:pPr>
      <w:r>
        <w:rPr>
          <w:szCs w:val="28"/>
        </w:rPr>
        <w:t>По второму заданию - «Установить частотные преобразователи на скв</w:t>
      </w:r>
      <w:r>
        <w:rPr>
          <w:szCs w:val="28"/>
        </w:rPr>
        <w:t>ажинах № 1, 6, 22, 60». Был установлен один частотный преобразователь водозаборных сооружений на одну скважину из четырех.</w:t>
      </w:r>
    </w:p>
    <w:p w:rsidR="00DB2ACB" w:rsidRDefault="00F507AB">
      <w:pPr>
        <w:pStyle w:val="aa"/>
        <w:tabs>
          <w:tab w:val="left" w:pos="951"/>
          <w:tab w:val="left" w:pos="1399"/>
        </w:tabs>
        <w:ind w:right="-170" w:firstLine="737"/>
        <w:jc w:val="both"/>
        <w:rPr>
          <w:szCs w:val="28"/>
        </w:rPr>
      </w:pPr>
      <w:r>
        <w:rPr>
          <w:szCs w:val="28"/>
        </w:rPr>
        <w:t xml:space="preserve">По третьему заданию - «Разработать и смонтировать системы автоматизации и диспетчеризации через  GSM модемы, контроллеры сбора </w:t>
      </w:r>
      <w:r>
        <w:rPr>
          <w:szCs w:val="28"/>
        </w:rPr>
        <w:t xml:space="preserve">информации и датчики для сокращения времени реагирования и устранения аварий на объектах водозаборных сооружений и водоводах». Разработаны и </w:t>
      </w:r>
      <w:r>
        <w:rPr>
          <w:szCs w:val="28"/>
        </w:rPr>
        <w:lastRenderedPageBreak/>
        <w:t>смонтированы GSM модемы на 13 из 25скважин.  Необходимо разработать и смонтировать до 2027 года GSM модемы еще на 1</w:t>
      </w:r>
      <w:r>
        <w:rPr>
          <w:szCs w:val="28"/>
        </w:rPr>
        <w:t>2 скважинах.</w:t>
      </w:r>
    </w:p>
    <w:p w:rsidR="00DB2ACB" w:rsidRDefault="00F507AB">
      <w:pPr>
        <w:pStyle w:val="aa"/>
        <w:tabs>
          <w:tab w:val="left" w:pos="951"/>
          <w:tab w:val="left" w:pos="1399"/>
        </w:tabs>
        <w:ind w:right="-170" w:firstLine="737"/>
        <w:jc w:val="both"/>
        <w:rPr>
          <w:szCs w:val="28"/>
        </w:rPr>
      </w:pPr>
      <w:r>
        <w:rPr>
          <w:szCs w:val="28"/>
        </w:rPr>
        <w:t>По четвертому заданию - «Произвести модернизацию канализационных очистных сооружений, в части замены аэрации на базе мелкопузырчатых аэраторов с существующих на более современные». Заменена трубная система аэрации 2-й секции, а именно осушение</w:t>
      </w:r>
      <w:r>
        <w:rPr>
          <w:szCs w:val="28"/>
        </w:rPr>
        <w:t xml:space="preserve"> секции, монтаж демонтаж системы аэрации 3-х коридорного аэротенка на территории КОС по адресу:                        г. Новоалтайск, Барнаульское шоссе.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контрольного мероприятия было выявлено, что фактические показатели, достиже</w:t>
      </w:r>
      <w:r>
        <w:rPr>
          <w:sz w:val="28"/>
          <w:szCs w:val="28"/>
        </w:rPr>
        <w:t>ния которых предусмотрено в сфере водоснабжения и водоотведения на 2018-2027 годы соответствуют плановым показателям. Окончательное выполнение обязательств по концессионному соглашению будет находятся на контроле Контрольно-счетной палаты города Новоалтайс</w:t>
      </w:r>
      <w:r>
        <w:rPr>
          <w:sz w:val="28"/>
          <w:szCs w:val="28"/>
        </w:rPr>
        <w:t xml:space="preserve">ка. </w:t>
      </w:r>
    </w:p>
    <w:p w:rsidR="00DB2ACB" w:rsidRDefault="00DB2ACB">
      <w:pPr>
        <w:ind w:firstLine="709"/>
        <w:jc w:val="both"/>
        <w:rPr>
          <w:i/>
          <w:color w:val="000000"/>
          <w:sz w:val="28"/>
          <w:szCs w:val="28"/>
        </w:rPr>
      </w:pP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- 14 контрольных мероприятия по внешней проверке годового, квартального, полугодового, и за девять месяцев отчетов об исполнении местного бюджета;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внешней проверки представленных отчетов об исполнении бюджета городского округа город</w:t>
      </w:r>
      <w:r>
        <w:rPr>
          <w:sz w:val="28"/>
          <w:szCs w:val="28"/>
        </w:rPr>
        <w:t>а Новоалтайска за 2021 год, первый квартал, первое полугодие, девять месяцев 2022 года  фактов указания недостоверных сведений и данных не соответствующих данным консолидированного отчета об исполнении бюджета городского округа, предоставленного в Министер</w:t>
      </w:r>
      <w:r>
        <w:rPr>
          <w:sz w:val="28"/>
          <w:szCs w:val="28"/>
        </w:rPr>
        <w:t xml:space="preserve">ство финансов Алтайского края, и бюджетной отчетности главных администраторов бюджетных средств, не установлено. 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отчетность главных администраторов бюджетных средств, отчет об исполнении бюджета городского округа города Новоалтайска за 2021 год </w:t>
      </w:r>
      <w:r>
        <w:rPr>
          <w:sz w:val="28"/>
          <w:szCs w:val="28"/>
        </w:rPr>
        <w:t xml:space="preserve">и представленные одновременно с ним документы и материалы соответствуют требованиям Бюджетного кодекса Российской Федерации.  </w:t>
      </w:r>
    </w:p>
    <w:p w:rsidR="00DB2ACB" w:rsidRDefault="00F507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проведенных контрольных мероприятий свидетельствуют о том, что использование средств бюджета города  осуществлялось пр</w:t>
      </w:r>
      <w:r>
        <w:rPr>
          <w:sz w:val="28"/>
          <w:szCs w:val="28"/>
        </w:rPr>
        <w:t>авомерно и в соответствии с целевым назначением.</w:t>
      </w:r>
    </w:p>
    <w:p w:rsidR="00DB2ACB" w:rsidRDefault="00F507A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проверок не выявлены нарушения, влекущие за собой применение бюджетных мер принуждения в работе проверяемых субъектов.</w:t>
      </w:r>
    </w:p>
    <w:p w:rsidR="00DB2ACB" w:rsidRDefault="00DB2ACB">
      <w:pPr>
        <w:ind w:firstLine="709"/>
        <w:jc w:val="both"/>
        <w:rPr>
          <w:sz w:val="28"/>
          <w:szCs w:val="28"/>
        </w:rPr>
      </w:pP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- 34 финансово-экономических экспертиз на проекты постановлений Администрации го</w:t>
      </w:r>
      <w:r>
        <w:rPr>
          <w:sz w:val="28"/>
          <w:szCs w:val="28"/>
        </w:rPr>
        <w:t>рода Новоалтайска о вносимых изменениях в муниципальные программы.</w:t>
      </w:r>
    </w:p>
    <w:p w:rsidR="00DB2ACB" w:rsidRDefault="00F507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экспертиз выявлены нарушения п</w:t>
      </w:r>
      <w:r>
        <w:rPr>
          <w:color w:val="000000"/>
          <w:sz w:val="28"/>
          <w:szCs w:val="28"/>
        </w:rPr>
        <w:t>орядка разработки и реализации муниципальных программ. К основными нарушениями  относятся:</w:t>
      </w:r>
    </w:p>
    <w:p w:rsidR="00DB2ACB" w:rsidRDefault="00F507AB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не соблюдение требований статьи 179 Бюджетного к</w:t>
      </w:r>
      <w:r>
        <w:rPr>
          <w:color w:val="000000"/>
          <w:sz w:val="28"/>
          <w:szCs w:val="28"/>
        </w:rPr>
        <w:t xml:space="preserve">одекса Российской Федерации </w:t>
      </w:r>
      <w:r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обеспечении тождественности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бюджета. То есть, когда финансирование муниципальной</w:t>
      </w:r>
      <w:r>
        <w:rPr>
          <w:color w:val="000000"/>
          <w:sz w:val="28"/>
          <w:szCs w:val="28"/>
        </w:rPr>
        <w:t xml:space="preserve"> программы по годам не соответствует </w:t>
      </w:r>
      <w:r>
        <w:rPr>
          <w:color w:val="000000"/>
          <w:sz w:val="28"/>
          <w:szCs w:val="28"/>
        </w:rPr>
        <w:lastRenderedPageBreak/>
        <w:t>бюджетным назначениям, предусмотренным решением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годов». Согла</w:t>
      </w:r>
      <w:r>
        <w:rPr>
          <w:color w:val="000000"/>
          <w:sz w:val="28"/>
          <w:szCs w:val="28"/>
        </w:rPr>
        <w:t>сно пункта 4.2 Порядка разработки, реализации и оценки эффективности муниципальных программ города Новоалтайска от 25.05.2015 № 984 объем бюджетных ассигнований на финансовое обеспечение реализации муниципальной программы подлежит приведению в соответствие</w:t>
      </w:r>
      <w:r>
        <w:rPr>
          <w:color w:val="000000"/>
          <w:sz w:val="28"/>
          <w:szCs w:val="28"/>
        </w:rPr>
        <w:t xml:space="preserve"> с решением о бюджете (не позднее трех месяцев со дня вступления его в силу).</w:t>
      </w:r>
    </w:p>
    <w:p w:rsidR="00DB2ACB" w:rsidRDefault="00F507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соблюдение требований  </w:t>
      </w:r>
      <w:r>
        <w:rPr>
          <w:color w:val="000000"/>
          <w:sz w:val="28"/>
          <w:szCs w:val="28"/>
        </w:rPr>
        <w:t>части 2 статьи 157 Бюджетного кодекса Российской Федерации, о необходимости направлять в Контрольно-счетную палату города Новоалтайска на экспертизу п</w:t>
      </w:r>
      <w:r>
        <w:rPr>
          <w:color w:val="000000"/>
          <w:sz w:val="28"/>
          <w:szCs w:val="28"/>
        </w:rPr>
        <w:t xml:space="preserve">роекты муниципальных программ, для осуществления бюджетных полномочий, в части касающейся расходных               обязательств муниципального образования (муниципальных программ). </w:t>
      </w:r>
    </w:p>
    <w:p w:rsidR="00DB2ACB" w:rsidRDefault="00F507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- 18 экспертно - аналитических мероприятий на проекты решений Новоалтайск</w:t>
      </w:r>
      <w:r>
        <w:rPr>
          <w:sz w:val="28"/>
          <w:szCs w:val="28"/>
        </w:rPr>
        <w:t>ого городского Собрания депутатов о бюджете  и  о внесении изменений в бюджет.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средств, проверенных Контрольно-счетной палатой города Новоалтайска при проведении контрольных мероприятий, составил 1823,507 тыс. рублей.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результаты вс</w:t>
      </w:r>
      <w:r>
        <w:rPr>
          <w:sz w:val="28"/>
          <w:szCs w:val="28"/>
        </w:rPr>
        <w:t>ех контрольных и</w:t>
      </w:r>
      <w:r>
        <w:rPr>
          <w:sz w:val="28"/>
          <w:szCs w:val="28"/>
        </w:rPr>
        <w:br/>
        <w:t>экспертно-аналитических мероприятий, а также финансово-экономических экспертиз доведены до сведения Председателя Новоалтайского городского Собрания депутатов и Главы города Новоалтайска в виде заключений, отчетов и информационных писем.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2022 году Контрольно-счетной палатой города Новоалтайска продолжалась работа по профилактике и предупреждению нарушений, повышению бюджетной дисциплины.</w:t>
      </w:r>
    </w:p>
    <w:p w:rsidR="00DB2ACB" w:rsidRDefault="00F5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контрольных и экспертно-аналитических мероприятий нарушений, п</w:t>
      </w:r>
      <w:r>
        <w:rPr>
          <w:color w:val="000000"/>
          <w:sz w:val="28"/>
          <w:szCs w:val="28"/>
          <w:shd w:val="clear" w:color="auto" w:fill="FFFFFF"/>
        </w:rPr>
        <w:t>овлекших за собой применен</w:t>
      </w:r>
      <w:r>
        <w:rPr>
          <w:color w:val="000000"/>
          <w:sz w:val="28"/>
          <w:szCs w:val="28"/>
          <w:shd w:val="clear" w:color="auto" w:fill="FFFFFF"/>
        </w:rPr>
        <w:t>ие бюджетных мер принуждения, не выявлено. </w:t>
      </w:r>
    </w:p>
    <w:p w:rsidR="00DB2ACB" w:rsidRDefault="00F507AB">
      <w:pPr>
        <w:pStyle w:val="Heading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роведена работа по обеспечению доступа к информации о деятельности Контрольно-счетной палаты города Новоалтайска, путем размещения в информационно-телекоммуникационной сети Интернет на официальном сайте 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Новоалтайска в разделе «</w:t>
      </w:r>
      <w:hyperlink r:id="rId8"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Информация о контрольных, </w:t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br/>
          <w:t>экспертно-аналитически</w:t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х мероприятиях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». 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2022 году Контрольно-счетная палата города в целях реализации положений Федерального закона проводила работу по взаимодействию со Счетной палатой Алтайского края.  Налажен контакт по обмену информацией и предоставлению  сведений об </w:t>
      </w:r>
      <w:r>
        <w:rPr>
          <w:color w:val="000000" w:themeColor="text1"/>
          <w:sz w:val="28"/>
          <w:szCs w:val="28"/>
        </w:rPr>
        <w:t>итогах работы Контрольно-счетной палаты города. Подписано «Соглашение о сотрудничестве между Счетной палатой Алтайского края и Контрольно-счетной палатой города Новоалтайска Алтайского края». В стадии подписания соглашение о сотрудничестве с Отделом МВД г.</w:t>
      </w:r>
      <w:r>
        <w:rPr>
          <w:color w:val="000000" w:themeColor="text1"/>
          <w:sz w:val="28"/>
          <w:szCs w:val="28"/>
        </w:rPr>
        <w:t>Новоалтайска.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декабре 2022 года в рамках государственного заказа по профессиональному развитию государственных гражданских и муниципальных служащих Алтайского края, на базе АНО ДПО "Сибирский институт государственного и муниципального управления" в заочн</w:t>
      </w:r>
      <w:r>
        <w:rPr>
          <w:sz w:val="28"/>
          <w:szCs w:val="28"/>
        </w:rPr>
        <w:t xml:space="preserve">ом формате Председатель Контрольно-счетной палаты прошел </w:t>
      </w:r>
      <w:r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по теме «Управление государственными и муниципальными закупками».</w:t>
      </w:r>
    </w:p>
    <w:p w:rsidR="00DB2ACB" w:rsidRDefault="00DB2ACB">
      <w:pPr>
        <w:rPr>
          <w:sz w:val="28"/>
          <w:szCs w:val="28"/>
        </w:rPr>
      </w:pPr>
    </w:p>
    <w:p w:rsidR="00DB2ACB" w:rsidRDefault="00F507AB">
      <w:pPr>
        <w:pStyle w:val="Heading3"/>
        <w:spacing w:before="0" w:after="0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3. Контроль формирования и </w:t>
      </w:r>
    </w:p>
    <w:p w:rsidR="00DB2ACB" w:rsidRDefault="00F507AB">
      <w:pPr>
        <w:pStyle w:val="Heading3"/>
        <w:spacing w:before="0" w:after="0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исполнения бюджета городского округа</w:t>
      </w:r>
    </w:p>
    <w:p w:rsidR="00DB2ACB" w:rsidRDefault="00F507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бюджетном процессе и финансовом контроле в мун</w:t>
      </w:r>
      <w:r>
        <w:rPr>
          <w:sz w:val="28"/>
          <w:szCs w:val="28"/>
        </w:rPr>
        <w:t>иципальном образовании городском округе город Новоалтайск предполагает непрерывный процесс контроля исполнения бюджета, реализуемый на трех последовательных стадиях:</w:t>
      </w:r>
    </w:p>
    <w:p w:rsidR="00DB2ACB" w:rsidRDefault="00F507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стадии предварительного контроля проекта бюджета на очередной финансовый год;</w:t>
      </w:r>
    </w:p>
    <w:p w:rsidR="00DB2ACB" w:rsidRDefault="00F507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стадии </w:t>
      </w:r>
      <w:r>
        <w:rPr>
          <w:sz w:val="28"/>
          <w:szCs w:val="28"/>
        </w:rPr>
        <w:t>текущего контроля непосредственно в ходе исполнения бюджета текущего финансового года;</w:t>
      </w:r>
    </w:p>
    <w:p w:rsidR="00DB2ACB" w:rsidRDefault="00F507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стадии последующего контроля уже исполненного бюджета за отчетный финансовый год.</w:t>
      </w:r>
    </w:p>
    <w:p w:rsidR="00DB2ACB" w:rsidRDefault="00F507A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контрольной функции по реализации 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онтрольно-счетной палатой города Новоалтайска в отчетном году подготовлено заключение на проект решения Новоалтайского городского Собрания депутатов «О бюджете городского округа города Новоалтайска на 2022 год и на плановый период 2023 и 2024 годов», а так</w:t>
      </w:r>
      <w:r>
        <w:rPr>
          <w:rFonts w:ascii="Times New Roman" w:hAnsi="Times New Roman" w:cs="Times New Roman"/>
          <w:sz w:val="28"/>
          <w:szCs w:val="28"/>
        </w:rPr>
        <w:t xml:space="preserve">же на проект решения НГСД </w:t>
      </w:r>
      <w:r>
        <w:rPr>
          <w:rFonts w:ascii="Times New Roman" w:hAnsi="Times New Roman" w:cs="Times New Roman"/>
          <w:sz w:val="28"/>
          <w:szCs w:val="28"/>
        </w:rPr>
        <w:t>«О бюджете городского округа города Новоалтайска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 (далее - Заключения).  </w:t>
      </w:r>
    </w:p>
    <w:p w:rsidR="00DB2ACB" w:rsidRDefault="00F507A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Заключений  сделан анализ основных характеристик городского бюджета, соблюдения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структурными подразделениями Администрации города Новоалтайска в процессе разработки бюджета. </w:t>
      </w:r>
    </w:p>
    <w:p w:rsidR="00DB2ACB" w:rsidRDefault="00F507A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проверка прогнозных расчетов к бюджету городского округа на 2023, 2024, 2025 годы, расчетов по статьям классификации дох</w:t>
      </w:r>
      <w:r>
        <w:rPr>
          <w:rFonts w:ascii="Times New Roman" w:hAnsi="Times New Roman" w:cs="Times New Roman"/>
          <w:sz w:val="28"/>
          <w:szCs w:val="28"/>
        </w:rPr>
        <w:t>одов, заявок на бюджетное финансирование, проектов смет и расчетов к ним.</w:t>
      </w:r>
    </w:p>
    <w:p w:rsidR="00DB2ACB" w:rsidRDefault="00F507A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Сделан анализ соответствия текстовых статей проекта решения о бюджете городского округа на 2023 год и на плановый период 2024 и 2025 годов Бюджетному кодексу Российской Федерации и  </w:t>
      </w:r>
      <w:r>
        <w:rPr>
          <w:rFonts w:ascii="Times New Roman" w:hAnsi="Times New Roman" w:cs="Times New Roman"/>
          <w:sz w:val="28"/>
          <w:szCs w:val="28"/>
        </w:rPr>
        <w:t>законодательным актам Алтайского края.</w:t>
      </w:r>
    </w:p>
    <w:p w:rsidR="00DB2ACB" w:rsidRDefault="00F507AB">
      <w:pPr>
        <w:pStyle w:val="af0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прогнозных показателей доходов бюджета города на 2023 год Контрольно-счетной палатой города дана положительная оценка достоверности бюджета, основанного на надежности прогноза показателей социально-эко</w:t>
      </w:r>
      <w:r>
        <w:rPr>
          <w:rFonts w:ascii="Times New Roman" w:hAnsi="Times New Roman" w:cs="Times New Roman"/>
          <w:sz w:val="28"/>
          <w:szCs w:val="28"/>
        </w:rPr>
        <w:t xml:space="preserve">номического развития города Новоалтайска. </w:t>
      </w:r>
    </w:p>
    <w:p w:rsidR="00DB2ACB" w:rsidRDefault="00F507AB">
      <w:pPr>
        <w:ind w:firstLine="7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экспертизы проекта бюджета города на 2023 год и на плановый период 2024 и 2025 годов сделан вывод, что проект бюджета </w:t>
      </w:r>
      <w:r>
        <w:rPr>
          <w:color w:val="000000"/>
          <w:sz w:val="28"/>
          <w:szCs w:val="28"/>
        </w:rPr>
        <w:lastRenderedPageBreak/>
        <w:t xml:space="preserve">сформирован в соответствии с нормами Бюджетного кодекса Российской Федерации. </w:t>
      </w:r>
    </w:p>
    <w:p w:rsidR="00DB2ACB" w:rsidRDefault="00F507AB">
      <w:pPr>
        <w:ind w:firstLine="7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дной из составных частей экспертно-аналитической деятельности</w:t>
      </w:r>
      <w:r>
        <w:rPr>
          <w:sz w:val="28"/>
          <w:szCs w:val="28"/>
        </w:rPr>
        <w:br/>
        <w:t>Контрольно-счетной палаты в процессе предварительного контроля являлась подготовка заключений на проекты решений Новоалтайского городского Собрания депутатов.</w:t>
      </w:r>
    </w:p>
    <w:p w:rsidR="00DB2ACB" w:rsidRDefault="00F507A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В подготовленных Контрольно-счетной</w:t>
      </w:r>
      <w:r>
        <w:rPr>
          <w:sz w:val="28"/>
          <w:szCs w:val="28"/>
        </w:rPr>
        <w:t xml:space="preserve"> палатой Заключениях анализировались предлагаемые изменения расходной части бюджета, адресной инвестиционной программы, целевых программ, источников финансирования бюджета. Всего в отчетном году Новоалтайским городским Собранием депутатов были приняты пять</w:t>
      </w:r>
      <w:r>
        <w:rPr>
          <w:sz w:val="28"/>
          <w:szCs w:val="28"/>
        </w:rPr>
        <w:t xml:space="preserve"> редакций изменений бюджета городского округа город Новоалтайск.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проводился Контрольно-счетной палатой города Новоалтайска в течение года путем анализа отчетных данных об исполнении бюджета города на промежуточные даты, контроля за исполне</w:t>
      </w:r>
      <w:r>
        <w:rPr>
          <w:sz w:val="28"/>
          <w:szCs w:val="28"/>
        </w:rPr>
        <w:t>нием замечаний и предложений, высказанных Контрольно-счетной палатой города в итоговых материалах проверок.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 система контроля интегрирована в основные составляющие бюджетного процесса.</w:t>
      </w:r>
    </w:p>
    <w:p w:rsidR="00DB2ACB" w:rsidRDefault="00F50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в целях организации оперативного контроля исполнения</w:t>
      </w:r>
      <w:r>
        <w:rPr>
          <w:sz w:val="28"/>
          <w:szCs w:val="28"/>
        </w:rPr>
        <w:t xml:space="preserve"> бюджета, Комитет по финансам, налоговой и кредитной политике Администрации города Новоалтайска Алтайского края ежемесячно опубликовывает данные об исполнении бюджета городского округа города Новоалтайска согласно пункту 6 статьи 73 Устава городского округ</w:t>
      </w:r>
      <w:r>
        <w:rPr>
          <w:sz w:val="28"/>
          <w:szCs w:val="28"/>
        </w:rPr>
        <w:t>а город Новоалтайск Алтайского края. Управление Федерального казначейства по Алтайскому краю направляет ежемесячно информацию по Соглашению об информационном взаимодействии между Управлением Федерального казначейства по Алтайскому краю и Контрольно-счетной</w:t>
      </w:r>
      <w:r>
        <w:rPr>
          <w:sz w:val="28"/>
          <w:szCs w:val="28"/>
        </w:rPr>
        <w:t xml:space="preserve"> палаты города Новоалтайска. </w:t>
      </w:r>
    </w:p>
    <w:p w:rsidR="00DB2ACB" w:rsidRDefault="00F507A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Последующий контроль.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20 Положения о бюджетном процессе и финансовом контроле в городском округе город Новоалтайск Контрольно-счетная палата города Новоалтайска в апреле 2022 года провела внешнюю 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ерку годового отчета об исполнении бюджета городского округа города Новоалтайска за 2021 год в установленном порядке. </w:t>
      </w:r>
    </w:p>
    <w:p w:rsidR="00DB2ACB" w:rsidRDefault="00F507A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был проведен аудит итоговых отчетных  документов главных администраторов бюджетных средств на соответствие их требованиям Бюдже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тному кодексу Российской Федерации, а также финансовый анализа бюджетной отчетности. </w:t>
      </w:r>
    </w:p>
    <w:p w:rsidR="00DB2ACB" w:rsidRDefault="00F507A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Контрольно-счетная палата города установила, что в ходе осуществленных контрольных мероприятий при  рассмотрении  отчета об исполнении бюджета городского округа за 2021 год, фактов нарушения действующего законодательства, требующих принятия бюджетных мер п</w:t>
      </w:r>
      <w:r>
        <w:rPr>
          <w:color w:val="000000" w:themeColor="text1"/>
          <w:sz w:val="28"/>
          <w:szCs w:val="28"/>
        </w:rPr>
        <w:t xml:space="preserve">ринуждения, не выявлено. </w:t>
      </w:r>
    </w:p>
    <w:p w:rsidR="00DB2ACB" w:rsidRDefault="00DB2ACB">
      <w:pPr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DB2ACB" w:rsidRDefault="00DB2ACB">
      <w:pPr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DB2ACB" w:rsidRDefault="00F507AB">
      <w:pPr>
        <w:ind w:firstLine="5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4. Контрольная деятельность</w:t>
      </w:r>
    </w:p>
    <w:p w:rsidR="00DB2ACB" w:rsidRDefault="00F507AB">
      <w:pPr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Анализируя тематику проведенных в 2022 году проверок, можно отметить, что основным  направлением контрольных мероприятий</w:t>
      </w:r>
      <w:r>
        <w:rPr>
          <w:color w:val="000000" w:themeColor="text1"/>
          <w:sz w:val="28"/>
          <w:szCs w:val="28"/>
        </w:rPr>
        <w:t xml:space="preserve"> являлись вопросы использования средств бюджета городского округа (краевых), финансирование  муниципальных программ, соблюдения порядка управления и распоряжения муниципальной собственностью. </w:t>
      </w:r>
    </w:p>
    <w:p w:rsidR="00DB2ACB" w:rsidRDefault="00F507AB">
      <w:pPr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контроля использования средств бюджета городского округ</w:t>
      </w:r>
      <w:r>
        <w:rPr>
          <w:color w:val="000000" w:themeColor="text1"/>
          <w:sz w:val="28"/>
          <w:szCs w:val="28"/>
        </w:rPr>
        <w:t>а на реализацию муниципальных программ в 2022 году, Контрольно-счетная палата провела 34 финансово-экономических экспертиз проектов вносимых изменений в муниципальные программы, на которые были даны заключения.</w:t>
      </w:r>
    </w:p>
    <w:p w:rsidR="00DB2ACB" w:rsidRDefault="00DB2ACB">
      <w:pPr>
        <w:ind w:firstLine="540"/>
        <w:jc w:val="both"/>
        <w:rPr>
          <w:color w:val="000000" w:themeColor="text1"/>
          <w:sz w:val="28"/>
          <w:szCs w:val="28"/>
        </w:rPr>
      </w:pPr>
    </w:p>
    <w:p w:rsidR="00DB2ACB" w:rsidRDefault="00F507AB">
      <w:pPr>
        <w:ind w:firstLine="22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Организация контроля устранения нарушений</w:t>
      </w:r>
      <w:r>
        <w:rPr>
          <w:b/>
          <w:color w:val="000000" w:themeColor="text1"/>
          <w:sz w:val="28"/>
          <w:szCs w:val="28"/>
        </w:rPr>
        <w:t>,</w:t>
      </w:r>
    </w:p>
    <w:p w:rsidR="00DB2ACB" w:rsidRDefault="00F507AB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выявленных в ходе проверок Контрольно-счетной палатой города</w:t>
      </w:r>
    </w:p>
    <w:p w:rsidR="00DB2ACB" w:rsidRDefault="00F507AB">
      <w:pPr>
        <w:ind w:firstLine="567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устранения нарушений, выявляемых при проведении контрольных мероприятий, осуществлялся на основе мер, вытекающих из действующего законодательства и нормативно-правовых актов</w:t>
      </w:r>
      <w:r>
        <w:rPr>
          <w:color w:val="000000" w:themeColor="text1"/>
          <w:sz w:val="28"/>
          <w:szCs w:val="28"/>
        </w:rPr>
        <w:br/>
        <w:t>Контрольно</w:t>
      </w:r>
      <w:r>
        <w:rPr>
          <w:color w:val="000000" w:themeColor="text1"/>
          <w:sz w:val="28"/>
          <w:szCs w:val="28"/>
        </w:rPr>
        <w:t xml:space="preserve">-счетной палаты города Новоалтайска. 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Проводимая в данном направлении работа является основанием для последующей выработки предложений по устранению выявленных в результате контрольной деятельности нарушений и недостатков.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Контрольно-счетная палата система</w:t>
      </w:r>
      <w:r>
        <w:rPr>
          <w:color w:val="000000" w:themeColor="text1"/>
          <w:sz w:val="28"/>
          <w:szCs w:val="28"/>
        </w:rPr>
        <w:t xml:space="preserve">тически анализирует итоги проводимых контрольных мероприятий, обобщает причины и последствия выявленных отклонений и нарушений в процессе формирования доходов, расходования средств бюджета городского округа и использования муниципальной собственности. </w:t>
      </w:r>
    </w:p>
    <w:p w:rsidR="00DB2ACB" w:rsidRDefault="00DB2ACB">
      <w:pPr>
        <w:ind w:firstLine="540"/>
        <w:jc w:val="both"/>
        <w:rPr>
          <w:color w:val="000000" w:themeColor="text1"/>
          <w:sz w:val="28"/>
          <w:szCs w:val="28"/>
        </w:rPr>
      </w:pPr>
    </w:p>
    <w:p w:rsidR="00DB2ACB" w:rsidRDefault="00F507AB">
      <w:pPr>
        <w:ind w:firstLine="5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</w:t>
      </w:r>
      <w:r>
        <w:rPr>
          <w:b/>
          <w:color w:val="000000" w:themeColor="text1"/>
          <w:sz w:val="28"/>
          <w:szCs w:val="28"/>
        </w:rPr>
        <w:t>Заключительные положения, выводы и предложения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Контрольно-счетная палата города, определяя основные задачи на ближайшую перспективу, отмечает следующие актуальные направления.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Выявление возможных условий снижения рисков не исполнения доходной части бюдж</w:t>
      </w:r>
      <w:r>
        <w:rPr>
          <w:color w:val="000000" w:themeColor="text1"/>
          <w:sz w:val="28"/>
          <w:szCs w:val="28"/>
        </w:rPr>
        <w:t>ета в 2023 году, поиск резервов в привлечении дополнительных доходов, и оптимизации расходных обязательств.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 рамках своих полномочий включиться в работу по противодействию коррупции, отслеживать и использовать в своей деятельности разработки и методики</w:t>
      </w:r>
      <w:r>
        <w:rPr>
          <w:color w:val="000000" w:themeColor="text1"/>
          <w:sz w:val="28"/>
          <w:szCs w:val="28"/>
        </w:rPr>
        <w:t xml:space="preserve"> контрольно-счетных органов России, постоянно совершенствовать формы и методы контрольной работы. 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Улучшение качества представляемых актов, отчетов и заключений, поиск новых форм представления материалов контрольных и экспертно-аналитических мероприятий</w:t>
      </w:r>
      <w:r>
        <w:rPr>
          <w:color w:val="000000" w:themeColor="text1"/>
          <w:sz w:val="28"/>
          <w:szCs w:val="28"/>
        </w:rPr>
        <w:t>.</w:t>
      </w:r>
    </w:p>
    <w:p w:rsidR="00DB2ACB" w:rsidRDefault="00F507A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Продолжить разработку (обновление) нормативно-правовой базы Контрольно-счетной палаты города Новоалтайска.</w:t>
      </w:r>
    </w:p>
    <w:tbl>
      <w:tblPr>
        <w:tblW w:w="9747" w:type="dxa"/>
        <w:tblLayout w:type="fixed"/>
        <w:tblLook w:val="0000"/>
      </w:tblPr>
      <w:tblGrid>
        <w:gridCol w:w="6588"/>
        <w:gridCol w:w="3159"/>
      </w:tblGrid>
      <w:tr w:rsidR="00DB2ACB">
        <w:trPr>
          <w:trHeight w:val="592"/>
        </w:trPr>
        <w:tc>
          <w:tcPr>
            <w:tcW w:w="6587" w:type="dxa"/>
          </w:tcPr>
          <w:p w:rsidR="00DB2ACB" w:rsidRDefault="00DB2ACB">
            <w:pPr>
              <w:pStyle w:val="20"/>
              <w:widowControl w:val="0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9" w:type="dxa"/>
          </w:tcPr>
          <w:p w:rsidR="00DB2ACB" w:rsidRDefault="00DB2ACB">
            <w:pPr>
              <w:pStyle w:val="20"/>
              <w:widowControl w:val="0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B2ACB" w:rsidRDefault="00F507AB">
      <w:pPr>
        <w:pStyle w:val="20"/>
        <w:widowControl w:val="0"/>
        <w:spacing w:after="0" w:line="240" w:lineRule="auto"/>
        <w:ind w:left="284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Председатель Контрольно-счетной палаты</w:t>
      </w:r>
    </w:p>
    <w:p w:rsidR="00DB2ACB" w:rsidRDefault="00F507AB">
      <w:pPr>
        <w:pStyle w:val="20"/>
        <w:widowControl w:val="0"/>
        <w:spacing w:after="0" w:line="240" w:lineRule="auto"/>
        <w:ind w:left="284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города Новоалтайска Алтайского края                                    Шабанов С.В.</w:t>
      </w:r>
    </w:p>
    <w:sectPr w:rsidR="00DB2ACB" w:rsidSect="00DB2ACB">
      <w:footerReference w:type="default" r:id="rId9"/>
      <w:pgSz w:w="11906" w:h="16838"/>
      <w:pgMar w:top="1134" w:right="567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ACB" w:rsidRDefault="00DB2ACB" w:rsidP="00DB2ACB">
      <w:r>
        <w:separator/>
      </w:r>
    </w:p>
  </w:endnote>
  <w:endnote w:type="continuationSeparator" w:id="1">
    <w:p w:rsidR="00DB2ACB" w:rsidRDefault="00DB2ACB" w:rsidP="00DB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374268"/>
      <w:docPartObj>
        <w:docPartGallery w:val="Page Numbers (Bottom of Page)"/>
        <w:docPartUnique/>
      </w:docPartObj>
    </w:sdtPr>
    <w:sdtContent>
      <w:p w:rsidR="00DB2ACB" w:rsidRDefault="00DB2ACB">
        <w:pPr>
          <w:pStyle w:val="Footer"/>
          <w:jc w:val="right"/>
        </w:pPr>
        <w:r>
          <w:fldChar w:fldCharType="begin"/>
        </w:r>
        <w:r w:rsidR="00F507AB">
          <w:instrText>PAGE</w:instrText>
        </w:r>
        <w:r>
          <w:fldChar w:fldCharType="separate"/>
        </w:r>
        <w:r w:rsidR="00F507AB">
          <w:rPr>
            <w:noProof/>
          </w:rPr>
          <w:t>7</w:t>
        </w:r>
        <w:r>
          <w:fldChar w:fldCharType="end"/>
        </w:r>
      </w:p>
    </w:sdtContent>
  </w:sdt>
  <w:p w:rsidR="00DB2ACB" w:rsidRDefault="00DB2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ACB" w:rsidRDefault="00DB2ACB" w:rsidP="00DB2ACB">
      <w:r>
        <w:separator/>
      </w:r>
    </w:p>
  </w:footnote>
  <w:footnote w:type="continuationSeparator" w:id="1">
    <w:p w:rsidR="00DB2ACB" w:rsidRDefault="00DB2ACB" w:rsidP="00DB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ACB"/>
    <w:rsid w:val="00DB2ACB"/>
    <w:rsid w:val="00F32566"/>
    <w:rsid w:val="00F5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link w:val="1"/>
    <w:qFormat/>
    <w:rsid w:val="007E30F9"/>
    <w:pPr>
      <w:keepLines/>
      <w:widowControl w:val="0"/>
      <w:tabs>
        <w:tab w:val="left" w:pos="3436"/>
      </w:tabs>
      <w:spacing w:before="120" w:after="120"/>
      <w:jc w:val="center"/>
      <w:outlineLvl w:val="0"/>
    </w:pPr>
    <w:rPr>
      <w:rFonts w:ascii="Courier New" w:eastAsia="Times New Roman" w:hAnsi="Courier New" w:cs="Times New Roman"/>
      <w:b/>
      <w:shadow/>
      <w:spacing w:val="20"/>
      <w:sz w:val="26"/>
      <w:szCs w:val="20"/>
      <w:lang w:eastAsia="ru-RU"/>
    </w:rPr>
  </w:style>
  <w:style w:type="paragraph" w:customStyle="1" w:styleId="Heading3">
    <w:name w:val="Heading 3"/>
    <w:basedOn w:val="a"/>
    <w:next w:val="a"/>
    <w:link w:val="3"/>
    <w:qFormat/>
    <w:rsid w:val="00460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7E30F9"/>
    <w:pPr>
      <w:keepNext/>
      <w:ind w:firstLine="851"/>
      <w:outlineLvl w:val="4"/>
    </w:pPr>
    <w:rPr>
      <w:rFonts w:ascii="Bookman Old Style" w:hAnsi="Bookman Old Style"/>
      <w:shadow/>
      <w:sz w:val="24"/>
    </w:rPr>
  </w:style>
  <w:style w:type="character" w:customStyle="1" w:styleId="1">
    <w:name w:val="Заголовок 1 Знак"/>
    <w:basedOn w:val="a0"/>
    <w:link w:val="Heading1"/>
    <w:qFormat/>
    <w:rsid w:val="007E30F9"/>
    <w:rPr>
      <w:rFonts w:ascii="Courier New" w:eastAsia="Times New Roman" w:hAnsi="Courier New" w:cs="Times New Roman"/>
      <w:b/>
      <w:shadow/>
      <w:spacing w:val="20"/>
      <w:sz w:val="26"/>
      <w:szCs w:val="20"/>
      <w:lang w:eastAsia="ru-RU"/>
    </w:rPr>
  </w:style>
  <w:style w:type="character" w:customStyle="1" w:styleId="5">
    <w:name w:val="Заголовок 5 Знак"/>
    <w:basedOn w:val="a0"/>
    <w:link w:val="Heading5"/>
    <w:qFormat/>
    <w:rsid w:val="007E30F9"/>
    <w:rPr>
      <w:rFonts w:ascii="Bookman Old Style" w:eastAsia="Times New Roman" w:hAnsi="Bookman Old Style" w:cs="Times New Roman"/>
      <w:shadow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7E30F9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4D5400"/>
    <w:rPr>
      <w:rFonts w:ascii="Verdana" w:hAnsi="Verdana"/>
      <w:b/>
      <w:bCs/>
    </w:rPr>
  </w:style>
  <w:style w:type="character" w:customStyle="1" w:styleId="3">
    <w:name w:val="Заголовок 3 Знак"/>
    <w:basedOn w:val="a0"/>
    <w:link w:val="Heading3"/>
    <w:qFormat/>
    <w:rsid w:val="004601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qFormat/>
    <w:rsid w:val="004601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460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qFormat/>
    <w:rsid w:val="00460122"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A22F45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semiHidden/>
    <w:qFormat/>
    <w:rsid w:val="00F6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F6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ument-name">
    <w:name w:val="document-name"/>
    <w:basedOn w:val="a0"/>
    <w:qFormat/>
    <w:rsid w:val="00906D15"/>
  </w:style>
  <w:style w:type="character" w:customStyle="1" w:styleId="size-extension">
    <w:name w:val="size-extension"/>
    <w:basedOn w:val="a0"/>
    <w:qFormat/>
    <w:rsid w:val="00906D15"/>
  </w:style>
  <w:style w:type="character" w:customStyle="1" w:styleId="type">
    <w:name w:val="type"/>
    <w:basedOn w:val="a0"/>
    <w:qFormat/>
    <w:rsid w:val="00906D15"/>
  </w:style>
  <w:style w:type="character" w:customStyle="1" w:styleId="size">
    <w:name w:val="size"/>
    <w:basedOn w:val="a0"/>
    <w:qFormat/>
    <w:rsid w:val="00906D15"/>
  </w:style>
  <w:style w:type="paragraph" w:customStyle="1" w:styleId="a9">
    <w:name w:val="Заголовок"/>
    <w:basedOn w:val="a"/>
    <w:next w:val="aa"/>
    <w:qFormat/>
    <w:rsid w:val="00DB2AC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460122"/>
    <w:rPr>
      <w:sz w:val="28"/>
    </w:rPr>
  </w:style>
  <w:style w:type="paragraph" w:styleId="ab">
    <w:name w:val="List"/>
    <w:basedOn w:val="aa"/>
    <w:rsid w:val="00DB2AC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B2AC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DB2ACB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E30F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7E30F9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qFormat/>
    <w:rsid w:val="00015297"/>
    <w:rPr>
      <w:rFonts w:ascii="Verdana" w:hAnsi="Verdana" w:cs="Verdana"/>
      <w:lang w:val="en-US" w:eastAsia="en-US"/>
    </w:rPr>
  </w:style>
  <w:style w:type="paragraph" w:styleId="af">
    <w:name w:val="Normal (Web)"/>
    <w:basedOn w:val="a"/>
    <w:uiPriority w:val="99"/>
    <w:qFormat/>
    <w:rsid w:val="00460122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yle26">
    <w:name w:val="Style26"/>
    <w:basedOn w:val="a"/>
    <w:qFormat/>
    <w:rsid w:val="00460122"/>
    <w:pPr>
      <w:widowControl w:val="0"/>
    </w:pPr>
    <w:rPr>
      <w:sz w:val="24"/>
      <w:szCs w:val="24"/>
    </w:rPr>
  </w:style>
  <w:style w:type="paragraph" w:styleId="20">
    <w:name w:val="Body Text Indent 2"/>
    <w:basedOn w:val="a"/>
    <w:qFormat/>
    <w:rsid w:val="00460122"/>
    <w:pPr>
      <w:spacing w:after="120" w:line="480" w:lineRule="auto"/>
      <w:ind w:left="283"/>
    </w:pPr>
  </w:style>
  <w:style w:type="paragraph" w:styleId="af0">
    <w:name w:val="Plain Text"/>
    <w:basedOn w:val="a"/>
    <w:qFormat/>
    <w:rsid w:val="00460122"/>
    <w:rPr>
      <w:rFonts w:ascii="Courier New" w:hAnsi="Courier New" w:cs="Courier New"/>
      <w:lang w:eastAsia="en-US"/>
    </w:rPr>
  </w:style>
  <w:style w:type="paragraph" w:customStyle="1" w:styleId="af1">
    <w:name w:val="Верхний и нижний колонтитулы"/>
    <w:basedOn w:val="a"/>
    <w:qFormat/>
    <w:rsid w:val="00DB2ACB"/>
  </w:style>
  <w:style w:type="paragraph" w:customStyle="1" w:styleId="Header">
    <w:name w:val="Header"/>
    <w:basedOn w:val="a"/>
    <w:uiPriority w:val="99"/>
    <w:semiHidden/>
    <w:unhideWhenUsed/>
    <w:rsid w:val="00F61C9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F61C92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2372A4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taysk.ru/index.php/gorodskoe-sobranie-deputatov/kontrolno-schetnaya-palata/1506-informatsiya-o-kontrolnykh-ekspertno-analiticheskikh-meropriyatiyak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70C6-A21F-45F3-BCF3-1A2BF605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2704</Words>
  <Characters>15417</Characters>
  <Application>Microsoft Office Word</Application>
  <DocSecurity>0</DocSecurity>
  <Lines>128</Lines>
  <Paragraphs>36</Paragraphs>
  <ScaleCrop>false</ScaleCrop>
  <Company/>
  <LinksUpToDate>false</LinksUpToDate>
  <CharactersWithSpaces>18085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2</cp:revision>
  <cp:lastPrinted>2023-01-20T08:36:00Z</cp:lastPrinted>
  <dcterms:created xsi:type="dcterms:W3CDTF">2023-03-03T02:53:00Z</dcterms:created>
  <dcterms:modified xsi:type="dcterms:W3CDTF">2023-03-03T02:53:00Z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