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66" w:rsidRDefault="00345E66" w:rsidP="00345E66">
      <w:pPr>
        <w:autoSpaceDE w:val="0"/>
        <w:autoSpaceDN w:val="0"/>
        <w:adjustRightInd w:val="0"/>
        <w:spacing w:after="28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eastAsia="ru-RU"/>
        </w:rPr>
        <w:drawing>
          <wp:inline distT="0" distB="0" distL="0" distR="0">
            <wp:extent cx="5429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E66" w:rsidRDefault="00345E66" w:rsidP="00345E66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КОНТРОЛЬНО-СЧЕТНАЯ ПАЛАТА ГОРОДА   НОВОАЛТАЙСКА </w:t>
      </w:r>
    </w:p>
    <w:p w:rsidR="00345E66" w:rsidRDefault="00345E66" w:rsidP="00345E66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АЛТАЙСКОГО   КРАЯ</w:t>
      </w:r>
    </w:p>
    <w:p w:rsidR="00345E66" w:rsidRPr="00345E66" w:rsidRDefault="00345E66" w:rsidP="00345E66">
      <w:pPr>
        <w:autoSpaceDE w:val="0"/>
        <w:autoSpaceDN w:val="0"/>
        <w:adjustRightInd w:val="0"/>
        <w:jc w:val="left"/>
        <w:rPr>
          <w:sz w:val="28"/>
          <w:szCs w:val="28"/>
        </w:rPr>
      </w:pPr>
      <w:r w:rsidRPr="00345E66">
        <w:rPr>
          <w:sz w:val="28"/>
          <w:szCs w:val="28"/>
        </w:rPr>
        <w:t xml:space="preserve"> </w:t>
      </w:r>
    </w:p>
    <w:p w:rsidR="00793F41" w:rsidRDefault="00345E66" w:rsidP="00793F41">
      <w:pPr>
        <w:autoSpaceDE w:val="0"/>
        <w:autoSpaceDN w:val="0"/>
        <w:adjustRightInd w:val="0"/>
        <w:ind w:firstLine="22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ЗАКЛЮЧЕНИЕ</w:t>
      </w:r>
    </w:p>
    <w:p w:rsidR="00345E66" w:rsidRPr="002E3D44" w:rsidRDefault="00345E66" w:rsidP="00793F41">
      <w:pPr>
        <w:autoSpaceDE w:val="0"/>
        <w:autoSpaceDN w:val="0"/>
        <w:adjustRightInd w:val="0"/>
        <w:ind w:firstLine="22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45E66">
        <w:rPr>
          <w:sz w:val="28"/>
          <w:szCs w:val="28"/>
        </w:rPr>
        <w:t xml:space="preserve">«09» </w:t>
      </w:r>
      <w:r>
        <w:rPr>
          <w:rFonts w:ascii="Times New Roman CYR" w:hAnsi="Times New Roman CYR" w:cs="Times New Roman CYR"/>
          <w:sz w:val="28"/>
          <w:szCs w:val="28"/>
        </w:rPr>
        <w:t xml:space="preserve">февраля 2023 г.                                                               </w:t>
      </w:r>
      <w:r w:rsidR="002E3D44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№  8</w:t>
      </w:r>
    </w:p>
    <w:p w:rsidR="00345E66" w:rsidRPr="00345E66" w:rsidRDefault="00345E66" w:rsidP="00345E66">
      <w:pPr>
        <w:tabs>
          <w:tab w:val="left" w:pos="3969"/>
        </w:tabs>
        <w:autoSpaceDE w:val="0"/>
        <w:autoSpaceDN w:val="0"/>
        <w:adjustRightInd w:val="0"/>
        <w:spacing w:after="140"/>
        <w:ind w:right="-2"/>
        <w:rPr>
          <w:rFonts w:ascii="Calibri" w:hAnsi="Calibri" w:cs="Calibri"/>
          <w:sz w:val="22"/>
          <w:szCs w:val="22"/>
        </w:rPr>
      </w:pPr>
    </w:p>
    <w:p w:rsidR="00345E66" w:rsidRPr="00345E66" w:rsidRDefault="00345E66" w:rsidP="00345E66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финансово-экономической экспертизы проекта постановления </w:t>
      </w:r>
      <w:r w:rsidR="002E3D44">
        <w:rPr>
          <w:rFonts w:ascii="Times New Roman CYR" w:hAnsi="Times New Roman CYR" w:cs="Times New Roman CYR"/>
          <w:sz w:val="28"/>
          <w:szCs w:val="28"/>
        </w:rPr>
        <w:br/>
      </w:r>
      <w:r w:rsidRPr="00345E6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постановление Администрации города Новоалтайска от 28.12.2020 №2029 </w:t>
      </w:r>
      <w:r w:rsidRPr="00345E6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муниципальной программы </w:t>
      </w:r>
      <w:r w:rsidRPr="00345E66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Содействие занятости населения в городе Новоалтайске на 2021-2025  годы</w:t>
      </w:r>
      <w:r w:rsidRPr="00345E66">
        <w:rPr>
          <w:sz w:val="28"/>
          <w:szCs w:val="28"/>
        </w:rPr>
        <w:t>»</w:t>
      </w:r>
    </w:p>
    <w:p w:rsidR="00345E66" w:rsidRPr="00DD695A" w:rsidRDefault="00345E66" w:rsidP="00345E66">
      <w:pPr>
        <w:tabs>
          <w:tab w:val="center" w:pos="4818"/>
          <w:tab w:val="left" w:pos="6705"/>
        </w:tabs>
        <w:autoSpaceDE w:val="0"/>
        <w:autoSpaceDN w:val="0"/>
        <w:adjustRightInd w:val="0"/>
        <w:jc w:val="both"/>
        <w:rPr>
          <w:rFonts w:ascii="Calibri" w:hAnsi="Calibri" w:cs="Calibri"/>
          <w:sz w:val="27"/>
          <w:szCs w:val="27"/>
        </w:rPr>
      </w:pPr>
    </w:p>
    <w:p w:rsidR="00345E66" w:rsidRPr="00DC0977" w:rsidRDefault="00345E66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D695A">
        <w:rPr>
          <w:sz w:val="27"/>
          <w:szCs w:val="27"/>
        </w:rPr>
        <w:tab/>
      </w:r>
      <w:proofErr w:type="gramStart"/>
      <w:r w:rsidRPr="00DC0977">
        <w:rPr>
          <w:sz w:val="27"/>
          <w:szCs w:val="27"/>
        </w:rPr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 w:rsidRPr="00DC0977">
        <w:rPr>
          <w:color w:val="000000"/>
          <w:sz w:val="27"/>
          <w:szCs w:val="27"/>
        </w:rPr>
        <w:t xml:space="preserve"> Устава городского округа город Новоалтайск,</w:t>
      </w:r>
      <w:r w:rsidRPr="00DC0977">
        <w:rPr>
          <w:sz w:val="27"/>
          <w:szCs w:val="27"/>
        </w:rPr>
        <w:t xml:space="preserve"> Положения о Контрольно-счетной палате города Новоалтайска Алтайского края № </w:t>
      </w:r>
      <w:r w:rsidR="002E3D44" w:rsidRPr="00DC0977">
        <w:rPr>
          <w:sz w:val="27"/>
          <w:szCs w:val="27"/>
        </w:rPr>
        <w:t>38</w:t>
      </w:r>
      <w:r w:rsidRPr="00DC0977">
        <w:rPr>
          <w:sz w:val="27"/>
          <w:szCs w:val="27"/>
        </w:rPr>
        <w:t xml:space="preserve"> от 2</w:t>
      </w:r>
      <w:r w:rsidR="002E3D44" w:rsidRPr="00DC0977">
        <w:rPr>
          <w:sz w:val="27"/>
          <w:szCs w:val="27"/>
        </w:rPr>
        <w:t>1</w:t>
      </w:r>
      <w:r w:rsidRPr="00DC0977">
        <w:rPr>
          <w:sz w:val="27"/>
          <w:szCs w:val="27"/>
        </w:rPr>
        <w:t>.1</w:t>
      </w:r>
      <w:r w:rsidR="002E3D44" w:rsidRPr="00DC0977">
        <w:rPr>
          <w:sz w:val="27"/>
          <w:szCs w:val="27"/>
        </w:rPr>
        <w:t>2.2021</w:t>
      </w:r>
      <w:r w:rsidRPr="00DC0977">
        <w:rPr>
          <w:sz w:val="27"/>
          <w:szCs w:val="27"/>
        </w:rPr>
        <w:t xml:space="preserve">, стандарта СВМФК 006, утвержденного распоряжением Контрольно-счетной палаты города </w:t>
      </w:r>
      <w:r w:rsidR="00DD695A" w:rsidRPr="00DC0977">
        <w:rPr>
          <w:sz w:val="27"/>
          <w:szCs w:val="27"/>
        </w:rPr>
        <w:t>Н</w:t>
      </w:r>
      <w:r w:rsidRPr="00DC0977">
        <w:rPr>
          <w:sz w:val="27"/>
          <w:szCs w:val="27"/>
        </w:rPr>
        <w:t>овоалтайска Алтайского края от 22.10.2020 № 24, проведена финансово-экономическая экспертиза проекта постановления «О внесении изменений в постановление Администрации города Новоалтайска от 28.12.2020 №</w:t>
      </w:r>
      <w:r w:rsidR="002E3D44" w:rsidRPr="00DC0977">
        <w:rPr>
          <w:sz w:val="27"/>
          <w:szCs w:val="27"/>
        </w:rPr>
        <w:t xml:space="preserve"> </w:t>
      </w:r>
      <w:r w:rsidRPr="00DC0977">
        <w:rPr>
          <w:sz w:val="27"/>
          <w:szCs w:val="27"/>
        </w:rPr>
        <w:t>2029</w:t>
      </w:r>
      <w:proofErr w:type="gramEnd"/>
      <w:r w:rsidRPr="00DC0977">
        <w:rPr>
          <w:sz w:val="27"/>
          <w:szCs w:val="27"/>
        </w:rPr>
        <w:t xml:space="preserve"> «Об утверждении муниципальной программы «Содействие занятости населения в городе Новоалтайске на 2021-2025 годы»</w:t>
      </w:r>
      <w:r w:rsidR="00DD695A" w:rsidRPr="00DC0977">
        <w:rPr>
          <w:sz w:val="27"/>
          <w:szCs w:val="27"/>
        </w:rPr>
        <w:t xml:space="preserve"> </w:t>
      </w:r>
      <w:r w:rsidRPr="00DC0977">
        <w:rPr>
          <w:sz w:val="27"/>
          <w:szCs w:val="27"/>
        </w:rPr>
        <w:t>(далее - программа), представленного  Администрацией города Новоалтайска (входящий № 13 от 06.02.2023, исходящий №265/</w:t>
      </w:r>
      <w:proofErr w:type="gramStart"/>
      <w:r w:rsidRPr="00DC0977">
        <w:rPr>
          <w:sz w:val="27"/>
          <w:szCs w:val="27"/>
        </w:rPr>
        <w:t>П</w:t>
      </w:r>
      <w:proofErr w:type="gramEnd"/>
      <w:r w:rsidRPr="00DC0977">
        <w:rPr>
          <w:sz w:val="27"/>
          <w:szCs w:val="27"/>
        </w:rPr>
        <w:t>/601 от 06.02.2023).</w:t>
      </w:r>
    </w:p>
    <w:p w:rsidR="00345E66" w:rsidRPr="00DC0977" w:rsidRDefault="00345E66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345E66" w:rsidRPr="00DC0977" w:rsidRDefault="00345E66" w:rsidP="004A53AD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7"/>
          <w:szCs w:val="27"/>
        </w:rPr>
      </w:pPr>
      <w:r w:rsidRPr="00DC0977">
        <w:rPr>
          <w:sz w:val="27"/>
          <w:szCs w:val="27"/>
        </w:rPr>
        <w:t>1. Анализ целей и задач муниципальной программы</w:t>
      </w:r>
    </w:p>
    <w:p w:rsidR="00DD695A" w:rsidRPr="00DC0977" w:rsidRDefault="00DD695A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345E66" w:rsidRPr="00DC0977" w:rsidRDefault="00345E66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>Проектом постановления цели и задачи муниципальной программы не изменяются.</w:t>
      </w:r>
    </w:p>
    <w:p w:rsidR="00345E66" w:rsidRPr="00DC0977" w:rsidRDefault="00345E66" w:rsidP="004A53AD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7"/>
          <w:szCs w:val="27"/>
        </w:rPr>
      </w:pPr>
      <w:r w:rsidRPr="00DC0977">
        <w:rPr>
          <w:sz w:val="27"/>
          <w:szCs w:val="27"/>
        </w:rPr>
        <w:t>2. Анализ финансирования муниципальной программы</w:t>
      </w:r>
    </w:p>
    <w:p w:rsidR="00DD695A" w:rsidRPr="00DC0977" w:rsidRDefault="00DD695A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345E66" w:rsidRPr="00DC0977" w:rsidRDefault="00345E66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В соответствии с проектом постановления общий объем финансового обеспечения муниципальной программы уменьшается за счет средств городского бюджета на 9508,0 тыс. рублей (48,1 %). </w:t>
      </w:r>
      <w:proofErr w:type="gramStart"/>
      <w:r w:rsidRPr="00DC0977">
        <w:rPr>
          <w:sz w:val="27"/>
          <w:szCs w:val="27"/>
        </w:rPr>
        <w:t xml:space="preserve">Расходы уменьшаются в 2023 году на 3449,3 тыс. рублей  (на 87,3 %) с 3949,7 тыс. рублей до 500,4  тыс. рублей, </w:t>
      </w:r>
      <w:r w:rsidR="008C6C88" w:rsidRPr="00DC0977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в 2024 году уменьшение на 3134,9 тыс. рублей (86,2 %) с 3634,9 тыс. рублей до 500,0 тыс. рублей, в 2025 году уменьшение на 2923,8 тыс. рублей (85,4 %) с 3423,8 </w:t>
      </w:r>
      <w:r w:rsidR="00DD695A" w:rsidRPr="00DC0977">
        <w:rPr>
          <w:sz w:val="27"/>
          <w:szCs w:val="27"/>
        </w:rPr>
        <w:br/>
      </w:r>
      <w:r w:rsidRPr="00DC0977">
        <w:rPr>
          <w:sz w:val="27"/>
          <w:szCs w:val="27"/>
        </w:rPr>
        <w:lastRenderedPageBreak/>
        <w:t>тыс. рублей до 500,0 тыс. рублей.</w:t>
      </w:r>
      <w:proofErr w:type="gramEnd"/>
      <w:r w:rsidRPr="00DC0977">
        <w:rPr>
          <w:sz w:val="27"/>
          <w:szCs w:val="27"/>
        </w:rPr>
        <w:t xml:space="preserve"> С учетом изменений общий объем финансового обеспечения муниципальной программы составит 10252,7 тыс. рублей.</w:t>
      </w:r>
    </w:p>
    <w:p w:rsidR="00345E66" w:rsidRPr="00DC0977" w:rsidRDefault="00345E66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color w:val="000000"/>
          <w:sz w:val="27"/>
          <w:szCs w:val="27"/>
        </w:rPr>
      </w:pPr>
      <w:r w:rsidRPr="00DC0977">
        <w:rPr>
          <w:sz w:val="27"/>
          <w:szCs w:val="27"/>
        </w:rPr>
        <w:tab/>
      </w:r>
      <w:proofErr w:type="gramStart"/>
      <w:r w:rsidRPr="00DC0977">
        <w:rPr>
          <w:sz w:val="27"/>
          <w:szCs w:val="27"/>
        </w:rPr>
        <w:t>Объем финансового обеспечения муниципальной программы за счет средств городского бюджета на</w:t>
      </w:r>
      <w:r w:rsidR="007479E1" w:rsidRPr="00DC0977">
        <w:rPr>
          <w:sz w:val="27"/>
          <w:szCs w:val="27"/>
        </w:rPr>
        <w:t xml:space="preserve"> 2022,</w:t>
      </w:r>
      <w:r w:rsidRPr="00DC0977">
        <w:rPr>
          <w:sz w:val="27"/>
          <w:szCs w:val="27"/>
        </w:rPr>
        <w:t xml:space="preserve"> 2023, 2024 и 2025 годы, представленный в проекте постановления приводится в соответствие с </w:t>
      </w:r>
      <w:r w:rsidR="007479E1" w:rsidRPr="00DC0977">
        <w:rPr>
          <w:color w:val="000000"/>
          <w:sz w:val="27"/>
          <w:szCs w:val="27"/>
        </w:rPr>
        <w:t xml:space="preserve">решением </w:t>
      </w:r>
      <w:proofErr w:type="spellStart"/>
      <w:r w:rsidR="007479E1" w:rsidRPr="00DC0977">
        <w:rPr>
          <w:color w:val="000000"/>
          <w:sz w:val="27"/>
          <w:szCs w:val="27"/>
        </w:rPr>
        <w:t>Но</w:t>
      </w:r>
      <w:r w:rsidR="007479E1" w:rsidRPr="00DC0977">
        <w:rPr>
          <w:sz w:val="27"/>
          <w:szCs w:val="27"/>
        </w:rPr>
        <w:t>воалтайского</w:t>
      </w:r>
      <w:proofErr w:type="spellEnd"/>
      <w:r w:rsidR="007479E1" w:rsidRPr="00DC0977">
        <w:rPr>
          <w:sz w:val="27"/>
          <w:szCs w:val="27"/>
        </w:rPr>
        <w:t xml:space="preserve"> городского Собрания депутатов от 21.12.2021 № 33 «О бюджете городского округа города Новоалтайска на 2022 год и на плановый период 2023 и 2024 годы» (в редакции от 18.01.2022 № 2, от 15.03.2022 № 9, от 16.08.2022</w:t>
      </w:r>
      <w:proofErr w:type="gramEnd"/>
      <w:r w:rsidR="007479E1" w:rsidRPr="00DC0977">
        <w:rPr>
          <w:sz w:val="27"/>
          <w:szCs w:val="27"/>
        </w:rPr>
        <w:t xml:space="preserve"> № </w:t>
      </w:r>
      <w:proofErr w:type="gramStart"/>
      <w:r w:rsidR="007479E1" w:rsidRPr="00DC0977">
        <w:rPr>
          <w:sz w:val="27"/>
          <w:szCs w:val="27"/>
        </w:rPr>
        <w:t xml:space="preserve">23, от 20.12.2022 № 10) и </w:t>
      </w:r>
      <w:r w:rsidRPr="00DC0977">
        <w:rPr>
          <w:sz w:val="27"/>
          <w:szCs w:val="27"/>
        </w:rPr>
        <w:t xml:space="preserve">решением </w:t>
      </w:r>
      <w:proofErr w:type="spellStart"/>
      <w:r w:rsidRPr="00DC0977">
        <w:rPr>
          <w:color w:val="000000"/>
          <w:sz w:val="27"/>
          <w:szCs w:val="27"/>
        </w:rPr>
        <w:t>Новоалтайского</w:t>
      </w:r>
      <w:proofErr w:type="spellEnd"/>
      <w:r w:rsidRPr="00DC0977">
        <w:rPr>
          <w:color w:val="000000"/>
          <w:sz w:val="27"/>
          <w:szCs w:val="27"/>
        </w:rPr>
        <w:t xml:space="preserve"> городского Собрания депутатов от 20.12.2022 года № 9</w:t>
      </w:r>
      <w:r w:rsidR="007479E1" w:rsidRPr="00DC0977">
        <w:rPr>
          <w:color w:val="000000"/>
          <w:sz w:val="27"/>
          <w:szCs w:val="27"/>
        </w:rPr>
        <w:br/>
      </w:r>
      <w:r w:rsidRPr="00DC0977">
        <w:rPr>
          <w:sz w:val="27"/>
          <w:szCs w:val="27"/>
        </w:rPr>
        <w:t>«О бюджете городского округа города Новоалтайска на 2023 год и на плановый период 2024 и 2025 годов»</w:t>
      </w:r>
      <w:r w:rsidR="008C6C88" w:rsidRPr="00DC0977">
        <w:rPr>
          <w:sz w:val="27"/>
          <w:szCs w:val="27"/>
        </w:rPr>
        <w:t>,</w:t>
      </w:r>
      <w:r w:rsidRPr="00DC0977">
        <w:rPr>
          <w:color w:val="000000"/>
          <w:sz w:val="27"/>
          <w:szCs w:val="27"/>
        </w:rPr>
        <w:t xml:space="preserve"> где по целевой статье расходов 18 0 00 00000 на 2023 год утверждена сумма 500,4 тыс. рублей, на 2024 год утверждена сумма 500,0 </w:t>
      </w:r>
      <w:r w:rsidR="007479E1" w:rsidRPr="00DC0977">
        <w:rPr>
          <w:color w:val="000000"/>
          <w:sz w:val="27"/>
          <w:szCs w:val="27"/>
        </w:rPr>
        <w:br/>
      </w:r>
      <w:r w:rsidRPr="00DC0977">
        <w:rPr>
          <w:color w:val="000000"/>
          <w:sz w:val="27"/>
          <w:szCs w:val="27"/>
        </w:rPr>
        <w:t>тыс. рублей, на 2025 год утверждена</w:t>
      </w:r>
      <w:proofErr w:type="gramEnd"/>
      <w:r w:rsidRPr="00DC0977">
        <w:rPr>
          <w:color w:val="000000"/>
          <w:sz w:val="27"/>
          <w:szCs w:val="27"/>
        </w:rPr>
        <w:t xml:space="preserve"> сумма 500,0 тыс. рублей.</w:t>
      </w:r>
    </w:p>
    <w:p w:rsidR="00345E66" w:rsidRPr="00DC0977" w:rsidRDefault="00345E66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345E66" w:rsidRPr="00DC0977" w:rsidRDefault="00345E66" w:rsidP="004A53AD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7"/>
          <w:szCs w:val="27"/>
        </w:rPr>
      </w:pPr>
      <w:r w:rsidRPr="00DC0977">
        <w:rPr>
          <w:sz w:val="27"/>
          <w:szCs w:val="27"/>
        </w:rPr>
        <w:t>3. Анализ структуры и содержания муниципальной программы</w:t>
      </w:r>
    </w:p>
    <w:p w:rsidR="00345E66" w:rsidRPr="00DC0977" w:rsidRDefault="00345E66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7479E1" w:rsidRPr="00DC0977" w:rsidRDefault="00345E66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</w:r>
      <w:r w:rsidR="007479E1" w:rsidRPr="00DC0977">
        <w:rPr>
          <w:sz w:val="27"/>
          <w:szCs w:val="27"/>
        </w:rPr>
        <w:t xml:space="preserve">Проектом постановления вносятся изменения в Подпрограмму 1 «Содействие эффективной занятости населения и социальная поддержка безработных граждан в городе Новоалтайске на 2021-2025 годы». Общий объем финансирования мероприятий Подпрограммы 1 уменьшаются на 7890,0 тыс. рублей за счет средств городского  бюджета. </w:t>
      </w:r>
      <w:proofErr w:type="gramStart"/>
      <w:r w:rsidR="007479E1" w:rsidRPr="00DC0977">
        <w:rPr>
          <w:sz w:val="27"/>
          <w:szCs w:val="27"/>
        </w:rPr>
        <w:t xml:space="preserve">В том числе по годам, в 2023 году уменьшение на 2510,0 </w:t>
      </w:r>
      <w:r w:rsidR="00551641">
        <w:rPr>
          <w:sz w:val="27"/>
          <w:szCs w:val="27"/>
        </w:rPr>
        <w:br/>
      </w:r>
      <w:r w:rsidR="007479E1" w:rsidRPr="00DC0977">
        <w:rPr>
          <w:sz w:val="27"/>
          <w:szCs w:val="27"/>
        </w:rPr>
        <w:t xml:space="preserve">тыс. рублей (92,3 %) с 2720,0 тыс. рублей до 210,0  тыс. рублей, в 2024 году уменьшение на 2630,0 тыс. рублей (92,6 %) с 2840,0 тыс. рублей до 210,0  </w:t>
      </w:r>
      <w:r w:rsidR="00551641">
        <w:rPr>
          <w:sz w:val="27"/>
          <w:szCs w:val="27"/>
        </w:rPr>
        <w:br/>
      </w:r>
      <w:r w:rsidR="007479E1" w:rsidRPr="00DC0977">
        <w:rPr>
          <w:sz w:val="27"/>
          <w:szCs w:val="27"/>
        </w:rPr>
        <w:t xml:space="preserve">тыс. рублей, в 2025 году уменьшение на 2750,0 тыс. рублей (92,9 %) с 2960,0 </w:t>
      </w:r>
      <w:r w:rsidR="00551641">
        <w:rPr>
          <w:sz w:val="27"/>
          <w:szCs w:val="27"/>
        </w:rPr>
        <w:br/>
      </w:r>
      <w:r w:rsidR="007479E1" w:rsidRPr="00DC0977">
        <w:rPr>
          <w:sz w:val="27"/>
          <w:szCs w:val="27"/>
        </w:rPr>
        <w:t>тыс. рублей до 210,0 тыс. рублей.</w:t>
      </w:r>
      <w:proofErr w:type="gramEnd"/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В связи с этим уменьшается общий объем финансового обеспечения Мероприятия 1.4. «Организация проведения оплачиваемых общественных работ» на 660,0 тыс. рублей (51,0 %) с 1292,9 тыс. рублей до 632,9  тыс. рублей, за счет уменьшения расходов городского  бюджета на 660,0 тыс. рублей. В том числе в 2023 году уменьшение на 210,0 тыс. рублей, в 2024 году на 220,0 тыс. рублей и в 2025 году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230,0 тыс. рублей. 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Уменьшается общий объем финансового обеспечения Мероприятия 1.5. «Организация временного трудоустройства безработных граждан, испытывающих трудности в поиске работы (инвалидов; лиц освобожденных из учреждений, исполняющих наказание в виде лишения свободы; </w:t>
      </w:r>
      <w:proofErr w:type="spellStart"/>
      <w:r w:rsidRPr="00DC0977">
        <w:rPr>
          <w:sz w:val="27"/>
          <w:szCs w:val="27"/>
        </w:rPr>
        <w:t>предпенсионного</w:t>
      </w:r>
      <w:proofErr w:type="spellEnd"/>
      <w:r w:rsidRPr="00DC0977">
        <w:rPr>
          <w:sz w:val="27"/>
          <w:szCs w:val="27"/>
        </w:rPr>
        <w:t xml:space="preserve"> возраста; одиноких и многодетных родителей, воспитывающих несовершеннолетних детей, детей инвалидов и др.)». Общий объем  финансового обеспечения мероприятия уменьшается с 969,6 тыс. рублей до 939,6  тыс. рублей, за счет уменьшения расходов городского  бюджета на 30,0 тыс. рублей (3,1 %). В том числе в 2024 году на 10,0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 (4,5 %) с 220,0 тыс. рублей до 210,0 тыс. рублей и в 2025 году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20,0 тыс. рублей (8,6 %) с 230,0 тыс. рублей до 210,0 тыс. рублей.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lastRenderedPageBreak/>
        <w:tab/>
        <w:t xml:space="preserve">Уменьшается общий объем финансового обеспечения Мероприятия 1.6. «Организация временного трудоустройства несовершеннолетних граждан в возрасте от 14 до 18 лет в свободное от учебы время» на 7200 тыс. рублей (67,0 %) с 10735,0 тыс. рублей до 3535,0 тыс. рублей, за счет уменьшения расходов городского  бюджета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7200,0 тыс. рублей. В том числе в 2023 году уменьшение на 2300,0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 (100,0 %), в 2024 году на 2400,0 тыс. рублей (100,0 %) и в 2025 году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2500,0 тыс. рублей (100,0 %). 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Проектом постановления вносятся изменения в Подпрограмму 2 «Улучшение условий и охраны труда в городе Новоалтайске на 2021-2025 годы». Общий объем финансирования мероприятий Подпрограммы 2 уменьшаются на 1618,0 тыс. рублей за счет средств городского бюджета. </w:t>
      </w:r>
      <w:proofErr w:type="gramStart"/>
      <w:r w:rsidRPr="00DC0977">
        <w:rPr>
          <w:sz w:val="27"/>
          <w:szCs w:val="27"/>
        </w:rPr>
        <w:t xml:space="preserve">В том числе по годам, в 2023 году уменьшение на 939,3 тыс. рублей (76,4 %) с 1229,7 тыс. рублей до 290,4  тыс. рублей, в 2024 году уменьшение на 504,9 тыс. рублей (63,5 %) с 794,9 </w:t>
      </w:r>
      <w:r w:rsidR="00C8113E">
        <w:rPr>
          <w:sz w:val="27"/>
          <w:szCs w:val="27"/>
        </w:rPr>
        <w:t xml:space="preserve"> </w:t>
      </w:r>
      <w:r w:rsidRPr="00DC0977">
        <w:rPr>
          <w:sz w:val="27"/>
          <w:szCs w:val="27"/>
        </w:rPr>
        <w:t>тыс. рублей до 290,0  тыс. рублей, в 2025 году уменьшение на 173,8 тыс. рублей (37,5 %) с 463,8 тыс. рублей до 290,0  тыс. рублей.</w:t>
      </w:r>
      <w:proofErr w:type="gramEnd"/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1.1. «Содействие проведению специальной оценки условий  труда и оценки профессиональных рисков в учреждениях, подведомственных КОА» уменьшается за счет средств городского бюджета на 1384,8 тыс. рублей (63,1 %) с 2191,5 тыс. рублей до 806,7 тыс. рублей. Расходы уменьшаются в 2022 году на 107,2 тыс. рублей  (83,7 %) со 128,0 тыс. рублей до 20,8 тыс. рублей, в 2023 году на 537,6 тыс. рублей </w:t>
      </w:r>
      <w:proofErr w:type="gramStart"/>
      <w:r w:rsidRPr="00DC0977">
        <w:rPr>
          <w:sz w:val="27"/>
          <w:szCs w:val="27"/>
        </w:rPr>
        <w:t xml:space="preserve">( </w:t>
      </w:r>
      <w:proofErr w:type="gramEnd"/>
      <w:r w:rsidRPr="00DC0977">
        <w:rPr>
          <w:sz w:val="27"/>
          <w:szCs w:val="27"/>
        </w:rPr>
        <w:t xml:space="preserve">76,0 %) с 707,2 тыс. рублей до 169,6 тыс. рублей, в 2024 году уменьшение на 502,3 тыс. рублей (83,0 %) с 604,8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 до 102,5 тыс. рублей, в 2025 году уменьшение на 237,7 тыс. рублей (67,6 %) с 351,5 тыс. рублей до 113,8 тыс. рублей. 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1.2. «Содействие проведению специальной оценки условий труда и оценке профессиональных рисков в учреждениях, подведомственных </w:t>
      </w:r>
      <w:proofErr w:type="spellStart"/>
      <w:r w:rsidRPr="00DC0977">
        <w:rPr>
          <w:sz w:val="27"/>
          <w:szCs w:val="27"/>
        </w:rPr>
        <w:t>КноК</w:t>
      </w:r>
      <w:proofErr w:type="spellEnd"/>
      <w:r w:rsidRPr="00DC0977">
        <w:rPr>
          <w:sz w:val="27"/>
          <w:szCs w:val="27"/>
        </w:rPr>
        <w:t xml:space="preserve">» уменьшается за счет средств городского бюджета на 158,0 тыс. рублей (36,2 %) с 436,4 тыс. рублей до 278,4 тыс. рублей. Расходы уменьшаются в 2023 году на 255,2 тыс. рублей  (76,6 %) с 333,2 тыс. рублей до 78,0 тыс. рублей, в 2024 году расходы увеличиваются на 34,0 тыс. рублей  (в 3,1 раза) с 16,2 тыс. рублей до 50,2 тыс. рублей, в 2025 году увеличиваются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63,2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 (100 %). 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1.3. «Содействие проведению специальной оценки условий  труда и оценки профессиональных рисков </w:t>
      </w:r>
      <w:proofErr w:type="gramStart"/>
      <w:r w:rsidRPr="00DC0977">
        <w:rPr>
          <w:sz w:val="27"/>
          <w:szCs w:val="27"/>
        </w:rPr>
        <w:t>учреждениях</w:t>
      </w:r>
      <w:proofErr w:type="gramEnd"/>
      <w:r w:rsidRPr="00DC0977">
        <w:rPr>
          <w:sz w:val="27"/>
          <w:szCs w:val="27"/>
        </w:rPr>
        <w:t xml:space="preserve">, подведомственных </w:t>
      </w:r>
      <w:proofErr w:type="spellStart"/>
      <w:r w:rsidRPr="00DC0977">
        <w:rPr>
          <w:sz w:val="27"/>
          <w:szCs w:val="27"/>
        </w:rPr>
        <w:t>КфиС</w:t>
      </w:r>
      <w:proofErr w:type="spellEnd"/>
      <w:r w:rsidRPr="00DC0977">
        <w:rPr>
          <w:sz w:val="27"/>
          <w:szCs w:val="27"/>
        </w:rPr>
        <w:t xml:space="preserve">» уменьшается за счет средств городского бюджета на 16,5 тыс. рублей (16,5 %) с 102,3 тыс. рублей до 85,8 тыс. рублей. </w:t>
      </w:r>
      <w:proofErr w:type="gramStart"/>
      <w:r w:rsidRPr="00DC0977">
        <w:rPr>
          <w:sz w:val="27"/>
          <w:szCs w:val="27"/>
        </w:rPr>
        <w:t xml:space="preserve">Расходы уменьшаются в 2023 году на 58,5 тыс. рублей  (76,5 %) с 76,5 тыс. рублей до 18,0 тыс. рублей, в 2024 году расходы увеличиваются на 23,2 </w:t>
      </w:r>
      <w:r w:rsidRPr="00DC0977">
        <w:rPr>
          <w:sz w:val="27"/>
          <w:szCs w:val="27"/>
        </w:rPr>
        <w:br/>
        <w:t xml:space="preserve">тыс. рублей  (в 2,6 раза) с 14,4 тыс. рублей до 37,6 тыс. рублей, в 2025 году увеличиваются на 18,8 тыс. рублей (в 2,65 раза) с 11,4 тыс. рублей до 30,2 </w:t>
      </w:r>
      <w:r w:rsidRPr="00DC0977">
        <w:rPr>
          <w:sz w:val="27"/>
          <w:szCs w:val="27"/>
        </w:rPr>
        <w:br/>
        <w:t>тыс. рублей.</w:t>
      </w:r>
      <w:proofErr w:type="gramEnd"/>
    </w:p>
    <w:p w:rsidR="00C8113E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Проектом постановления полностью исключаются расходы на финансирования следующих разделов Подпрограммы 2: мероприятие 1.4. «Содействие проведению </w:t>
      </w:r>
      <w:r w:rsidRPr="00DC0977">
        <w:rPr>
          <w:sz w:val="27"/>
          <w:szCs w:val="27"/>
        </w:rPr>
        <w:lastRenderedPageBreak/>
        <w:t xml:space="preserve">специальной оценки условий  труда в Администрации города» в размере 9,0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рублей; мероприятие 1.5. «Содействие проведению специальной оценки условий труда в ФК» в размере 1,8 тыс. рублей; мероприятие 1.6. «Содействие проведению специальной оценки условий  труда в Комитете ЖКГХЭТС» в размере 3,6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рублей; мероприятие 1.9. «Содействие проведению специальной оценки условий труда в </w:t>
      </w:r>
      <w:proofErr w:type="spellStart"/>
      <w:r w:rsidRPr="00DC0977">
        <w:rPr>
          <w:sz w:val="27"/>
          <w:szCs w:val="27"/>
        </w:rPr>
        <w:t>Кнмкр</w:t>
      </w:r>
      <w:proofErr w:type="spellEnd"/>
      <w:r w:rsidRPr="00DC0977">
        <w:rPr>
          <w:sz w:val="27"/>
          <w:szCs w:val="27"/>
        </w:rPr>
        <w:t>» в размере 5,4 тыс. рублей.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1.7. «Содействие проведению специальной оценки условий  труда в КУИ» увеличивается за счет средств городского бюджета на 1,0 тыс. рублей (18,5 %) с 5,4 тыс. рублей до 6,4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рублей. Расходы уменьшаются в 2024 году на 2,2 тыс. рублей  (40,7 %) с 5,4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 до 3,2 тыс. рублей, в 2025 году расходы увеличиваются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3,2 </w:t>
      </w:r>
      <w:r w:rsidRPr="00DC0977">
        <w:rPr>
          <w:sz w:val="27"/>
          <w:szCs w:val="27"/>
        </w:rPr>
        <w:br/>
        <w:t>тыс. рублей  (100 %).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1.8. «Содействие проведению специальной оценки условий труда в </w:t>
      </w:r>
      <w:proofErr w:type="spellStart"/>
      <w:r w:rsidRPr="00DC0977">
        <w:rPr>
          <w:sz w:val="27"/>
          <w:szCs w:val="27"/>
        </w:rPr>
        <w:t>Кбмкр</w:t>
      </w:r>
      <w:proofErr w:type="spellEnd"/>
      <w:r w:rsidRPr="00DC0977">
        <w:rPr>
          <w:sz w:val="27"/>
          <w:szCs w:val="27"/>
        </w:rPr>
        <w:t xml:space="preserve">» увеличивается за счет средств городского бюджета на 0,7 тыс. рублей (6,6 %) с 10,5 тыс. рублей до 11,2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тыс. рублей. Расходы увеличиваются в 2024 году на 3,2 тыс. рублей (100,0 %), в 2025 году расходы уменьшаются на 2,5 тыс. рублей (43,8 %) с 5,7 тыс. рублей до 3,2 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>тыс. рублей.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1.10. «Содействие проведению специальной оценки условий  труда в УГОЧС» уменьшается за счет средств городского бюджета на 36,1 тыс. рублей (34,8 %) с 103,5 тыс. рублей до 67,4 тыс. рублей. Расходы уменьшаются в 2024 году на 35,7 тыс. рублей (79,3 %) с 45,0 тыс. рублей до 9,3 тыс. рублей, в 2025 году расходы уменьшаются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0,4</w:t>
      </w:r>
      <w:r w:rsidRPr="00DC0977">
        <w:rPr>
          <w:sz w:val="27"/>
          <w:szCs w:val="27"/>
        </w:rPr>
        <w:br/>
        <w:t>тыс. рублей (3,5 %) с 11,4 тыс. рублей до 11,0 тыс. рублей.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2.1.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учреждений, подведомственных</w:t>
      </w:r>
      <w:r w:rsidRPr="00DC0977">
        <w:rPr>
          <w:b/>
          <w:bCs/>
          <w:sz w:val="27"/>
          <w:szCs w:val="27"/>
        </w:rPr>
        <w:t xml:space="preserve"> </w:t>
      </w:r>
      <w:r w:rsidRPr="00DC0977">
        <w:rPr>
          <w:sz w:val="27"/>
          <w:szCs w:val="27"/>
        </w:rPr>
        <w:t xml:space="preserve">КОА» увеличивается за счет средств городского бюджета на 49,6 тыс. рублей (18,0 %) с 274,6 тыс. рублей до 324,2 тыс. рублей. Расходы увеличиваются в 2022 году на 139,7 тыс. рублей </w:t>
      </w:r>
      <w:r w:rsidRPr="00DC0977">
        <w:rPr>
          <w:sz w:val="27"/>
          <w:szCs w:val="27"/>
        </w:rPr>
        <w:br/>
        <w:t xml:space="preserve">(в 2,3 раза) с 79,5 тыс. рублей до 186,7 тыс. рублей, в 2023 году расходы уменьшаются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57,6 тыс. рублей (100,0 %) с 57,6 тыс. рублей до 0,0 тыс. рублей.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2.2.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учреждений, подведомственных </w:t>
      </w:r>
      <w:proofErr w:type="spellStart"/>
      <w:r w:rsidRPr="00DC0977">
        <w:rPr>
          <w:sz w:val="27"/>
          <w:szCs w:val="27"/>
        </w:rPr>
        <w:t>КпоК</w:t>
      </w:r>
      <w:proofErr w:type="spellEnd"/>
      <w:r w:rsidRPr="00DC0977">
        <w:rPr>
          <w:b/>
          <w:bCs/>
          <w:sz w:val="27"/>
          <w:szCs w:val="27"/>
        </w:rPr>
        <w:t xml:space="preserve">» </w:t>
      </w:r>
      <w:r w:rsidRPr="00DC0977">
        <w:rPr>
          <w:sz w:val="27"/>
          <w:szCs w:val="27"/>
        </w:rPr>
        <w:t xml:space="preserve">уменьшается за счет средств городского бюджета на 24,0 тыс. рублей (19,1 %) со 125,2 </w:t>
      </w:r>
      <w:r w:rsidRPr="00DC0977">
        <w:rPr>
          <w:sz w:val="27"/>
          <w:szCs w:val="27"/>
        </w:rPr>
        <w:br/>
        <w:t xml:space="preserve">тыс. рублей до 101,2 тыс. рублей. Расходы уменьшаются в 2023 году на 24,0 </w:t>
      </w:r>
      <w:r w:rsidRPr="00DC0977">
        <w:rPr>
          <w:sz w:val="27"/>
          <w:szCs w:val="27"/>
        </w:rPr>
        <w:br/>
        <w:t>тыс. рублей (100,0 %).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2.3.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учреждений, учреждений, подведомственных </w:t>
      </w:r>
      <w:proofErr w:type="spellStart"/>
      <w:r w:rsidRPr="00DC0977">
        <w:rPr>
          <w:sz w:val="27"/>
          <w:szCs w:val="27"/>
        </w:rPr>
        <w:t>КфиС</w:t>
      </w:r>
      <w:proofErr w:type="spellEnd"/>
      <w:r w:rsidRPr="00DC0977">
        <w:rPr>
          <w:sz w:val="27"/>
          <w:szCs w:val="27"/>
        </w:rPr>
        <w:t xml:space="preserve">» уменьшается за счет средств городского бюджета на 11,2 тыс. рублей (18,0 %) с 62,0 тыс. рублей до 50,8 тыс. рублей. Расходы уменьшаются в 2023 году на 11,2 </w:t>
      </w:r>
      <w:r w:rsidR="00C8113E">
        <w:rPr>
          <w:sz w:val="27"/>
          <w:szCs w:val="27"/>
        </w:rPr>
        <w:br/>
      </w:r>
      <w:r w:rsidRPr="00DC0977">
        <w:rPr>
          <w:sz w:val="27"/>
          <w:szCs w:val="27"/>
        </w:rPr>
        <w:t>тыс. рублей (100,0 %).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lastRenderedPageBreak/>
        <w:tab/>
        <w:t xml:space="preserve">Общий объем финансового обеспечения Мероприятия 2.4.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Администрации города» уменьшается за счет средств городского бюджета на 11,1 тыс. рублей (38,1 %) с 29,1 тыс. рублей до 18,0 </w:t>
      </w:r>
      <w:r w:rsidRPr="00DC0977">
        <w:rPr>
          <w:sz w:val="27"/>
          <w:szCs w:val="27"/>
        </w:rPr>
        <w:br/>
        <w:t>тыс. рублей. Расходы увеличиваются в 2023 году на 4,8 тыс. рублей (100,0 %) и уменьшаются в 2024 и 2025 годах на 5,1 тыс. рублей (100,0 %) и 10,8 тыс. рублей (100,0 %) соответственно.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2.5.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ФК» уменьшается за счет средств городского бюджета на 1,8 тыс. рублей (54,5 %) с 3,3 тыс. рублей до 1,5 тыс. рублей. Расходы уменьшаются в 2025 году на 1,8 тыс. рублей (100,0 %).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2.6.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 Комитета  ЖКГХЭТС» уменьшается за счет средств городского бюджета на 3,6 тыс. рублей (54,5 %) с 6,6 тыс. рублей до 3,0 </w:t>
      </w:r>
      <w:r w:rsidRPr="00DC0977">
        <w:rPr>
          <w:sz w:val="27"/>
          <w:szCs w:val="27"/>
        </w:rPr>
        <w:br/>
        <w:t>тыс. рублей. Расходы уменьшаются в 2025 году на 3,6 тыс. рублей (100,0 %).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2.9. «Организация </w:t>
      </w:r>
      <w:proofErr w:type="gramStart"/>
      <w:r w:rsidRPr="00DC0977">
        <w:rPr>
          <w:sz w:val="27"/>
          <w:szCs w:val="27"/>
        </w:rPr>
        <w:t>обучения по охране</w:t>
      </w:r>
      <w:proofErr w:type="gramEnd"/>
      <w:r w:rsidRPr="00DC0977">
        <w:rPr>
          <w:sz w:val="27"/>
          <w:szCs w:val="27"/>
        </w:rPr>
        <w:t xml:space="preserve"> труда, оказанию первой помощи пострадавшим, пожарной безопасности работников </w:t>
      </w:r>
      <w:proofErr w:type="spellStart"/>
      <w:r w:rsidRPr="00DC0977">
        <w:rPr>
          <w:sz w:val="27"/>
          <w:szCs w:val="27"/>
        </w:rPr>
        <w:t>Кнмкр</w:t>
      </w:r>
      <w:proofErr w:type="spellEnd"/>
      <w:r w:rsidRPr="00DC0977">
        <w:rPr>
          <w:sz w:val="27"/>
          <w:szCs w:val="27"/>
        </w:rPr>
        <w:t>» уменьшается за счет средств городского бюджета на 1,8 тыс. рублей (54,5 %) с 3,3 тыс. рублей до 1,5 тыс. рублей. Расходы уменьшаются в 2025 году на 1,8 тыс. рублей (100,0 %).</w:t>
      </w:r>
    </w:p>
    <w:p w:rsidR="007479E1" w:rsidRPr="00DC0977" w:rsidRDefault="007479E1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Общий объем финансового обеспечения Мероприятия 3.1. «Организация месячника безопасности труда в честь Всемирного дня охраны труда и проведение конкурса среди работодателей города на лучшую организацию охраны труда» уменьшается за счет средств городского бюджета на 0,6 тыс. рублей (4,9 %) с 12,1 тыс. рублей до 11,5 тыс. рублей. Расходы уменьшаются в 2024 году на 0,2 </w:t>
      </w:r>
      <w:r w:rsidRPr="00DC0977">
        <w:rPr>
          <w:sz w:val="27"/>
          <w:szCs w:val="27"/>
        </w:rPr>
        <w:br/>
        <w:t xml:space="preserve">тыс. рублей  (7,7 %) с 2,6 тыс. рублей до 2,4 тыс. рублей, в 2025 году расходы уменьшаются </w:t>
      </w:r>
      <w:proofErr w:type="gramStart"/>
      <w:r w:rsidRPr="00DC0977">
        <w:rPr>
          <w:sz w:val="27"/>
          <w:szCs w:val="27"/>
        </w:rPr>
        <w:t>на</w:t>
      </w:r>
      <w:proofErr w:type="gramEnd"/>
      <w:r w:rsidRPr="00DC0977">
        <w:rPr>
          <w:sz w:val="27"/>
          <w:szCs w:val="27"/>
        </w:rPr>
        <w:t xml:space="preserve"> 0,4 тыс. рублей (14,3 %) с 2,8 тыс. рублей до 2,4 тыс. рублей.</w:t>
      </w:r>
    </w:p>
    <w:p w:rsidR="007479E1" w:rsidRPr="00DC0977" w:rsidRDefault="007479E1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Индикаторы и показатели, ожидаемые результаты реализации муниципальной программы не изменяются. </w:t>
      </w:r>
    </w:p>
    <w:p w:rsidR="00DD695A" w:rsidRPr="00DC0977" w:rsidRDefault="00DD695A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45E66" w:rsidRPr="00DC0977" w:rsidRDefault="00345E66" w:rsidP="004A53AD">
      <w:pPr>
        <w:tabs>
          <w:tab w:val="left" w:pos="0"/>
        </w:tabs>
        <w:autoSpaceDE w:val="0"/>
        <w:autoSpaceDN w:val="0"/>
        <w:adjustRightInd w:val="0"/>
        <w:spacing w:after="140"/>
        <w:ind w:right="-2"/>
        <w:rPr>
          <w:sz w:val="27"/>
          <w:szCs w:val="27"/>
        </w:rPr>
      </w:pPr>
      <w:r w:rsidRPr="00DC0977">
        <w:rPr>
          <w:sz w:val="27"/>
          <w:szCs w:val="27"/>
        </w:rPr>
        <w:t>4. Анализ устранения замечаний</w:t>
      </w:r>
    </w:p>
    <w:p w:rsidR="00DD695A" w:rsidRPr="00DC0977" w:rsidRDefault="00DD695A" w:rsidP="00DC0977">
      <w:pPr>
        <w:tabs>
          <w:tab w:val="left" w:pos="0"/>
        </w:tabs>
        <w:autoSpaceDE w:val="0"/>
        <w:autoSpaceDN w:val="0"/>
        <w:adjustRightInd w:val="0"/>
        <w:spacing w:after="140"/>
        <w:ind w:right="-2"/>
        <w:jc w:val="both"/>
        <w:rPr>
          <w:sz w:val="27"/>
          <w:szCs w:val="27"/>
        </w:rPr>
      </w:pPr>
    </w:p>
    <w:p w:rsidR="00345E66" w:rsidRPr="00DC0977" w:rsidRDefault="00345E66" w:rsidP="00DC0977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</w:r>
      <w:r w:rsidRPr="00DC0977">
        <w:rPr>
          <w:sz w:val="27"/>
          <w:szCs w:val="27"/>
        </w:rPr>
        <w:tab/>
        <w:t>По предыдущему проекту постановления (заключение</w:t>
      </w:r>
      <w:r w:rsidR="00A32D3A" w:rsidRPr="00DC0977">
        <w:rPr>
          <w:sz w:val="27"/>
          <w:szCs w:val="27"/>
        </w:rPr>
        <w:t xml:space="preserve"> </w:t>
      </w:r>
      <w:r w:rsidRPr="00DC0977">
        <w:rPr>
          <w:sz w:val="27"/>
          <w:szCs w:val="27"/>
        </w:rPr>
        <w:t>Контрольно-счетной палаты города Новоалтайска №32 от 09.07.2021) замечания отсутствовали.</w:t>
      </w:r>
    </w:p>
    <w:p w:rsidR="00A32D3A" w:rsidRPr="00DC0977" w:rsidRDefault="00345E66" w:rsidP="00DC0977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</w:r>
      <w:proofErr w:type="gramStart"/>
      <w:r w:rsidRPr="00DC0977">
        <w:rPr>
          <w:sz w:val="27"/>
          <w:szCs w:val="27"/>
        </w:rPr>
        <w:t xml:space="preserve">В соответствии с частью 2 статьи 157 Бюджетного кодекса Российской Федерации (далее – Кодекс), в соответствии с пунктом 7 части 2 статьи 9 Федерального закона от  07.02.2011 № 6-ФЗ «Об общих принципах организации и деятельности контрольно-счетных органов субъектов Российской Федерации и муниципальных образований» Контрольно-счетная палата города Новоалтайска осуществляет бюджетные полномочия по финансово-экономической экспертизе </w:t>
      </w:r>
      <w:r w:rsidRPr="00DC0977">
        <w:rPr>
          <w:sz w:val="27"/>
          <w:szCs w:val="27"/>
        </w:rPr>
        <w:lastRenderedPageBreak/>
        <w:t>проектов муниципальных правовых актов (включая обоснованность финансово-экономических обоснований) в</w:t>
      </w:r>
      <w:proofErr w:type="gramEnd"/>
      <w:r w:rsidRPr="00DC0977">
        <w:rPr>
          <w:sz w:val="27"/>
          <w:szCs w:val="27"/>
        </w:rPr>
        <w:t xml:space="preserve">  части, касающейся расходных обязательств муниципального образования, а также муниципальных программ.</w:t>
      </w:r>
    </w:p>
    <w:p w:rsidR="00345E66" w:rsidRDefault="00345E66" w:rsidP="00DC0977">
      <w:pPr>
        <w:tabs>
          <w:tab w:val="left" w:pos="0"/>
        </w:tabs>
        <w:autoSpaceDE w:val="0"/>
        <w:autoSpaceDN w:val="0"/>
        <w:adjustRightInd w:val="0"/>
        <w:spacing w:after="83"/>
        <w:ind w:right="-2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  <w:t xml:space="preserve">На экспертизу не предоставлялись в Контрольно-счетную палату города Новоалтайска проекты постановлений Администрации города Новоалтайска на изменения, вносимые в муниципальную программу № 2435 от 27.12.2021 года, </w:t>
      </w:r>
      <w:r w:rsidR="00A32D3A" w:rsidRPr="00DC0977">
        <w:rPr>
          <w:sz w:val="27"/>
          <w:szCs w:val="27"/>
        </w:rPr>
        <w:br/>
      </w:r>
      <w:r w:rsidRPr="00DC0977">
        <w:rPr>
          <w:sz w:val="27"/>
          <w:szCs w:val="27"/>
        </w:rPr>
        <w:t>№ 2508 от 19.12.2022 года.</w:t>
      </w:r>
    </w:p>
    <w:p w:rsidR="00345E66" w:rsidRPr="00DC0977" w:rsidRDefault="00345E66" w:rsidP="004A53AD">
      <w:pPr>
        <w:autoSpaceDE w:val="0"/>
        <w:autoSpaceDN w:val="0"/>
        <w:adjustRightInd w:val="0"/>
        <w:rPr>
          <w:sz w:val="27"/>
          <w:szCs w:val="27"/>
        </w:rPr>
      </w:pPr>
      <w:r w:rsidRPr="00DC0977">
        <w:rPr>
          <w:sz w:val="27"/>
          <w:szCs w:val="27"/>
        </w:rPr>
        <w:t>5. Выводы</w:t>
      </w:r>
    </w:p>
    <w:p w:rsidR="00345E66" w:rsidRPr="00DC0977" w:rsidRDefault="00345E66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45E66" w:rsidRPr="00DC0977" w:rsidRDefault="00345E66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</w:r>
      <w:proofErr w:type="gramStart"/>
      <w:r w:rsidRPr="00DC0977">
        <w:rPr>
          <w:sz w:val="27"/>
          <w:szCs w:val="27"/>
        </w:rPr>
        <w:t>Представленный проект постановления «О внесении изменений в постановление Администрации города Новоалтайска от 28.12.2020 №</w:t>
      </w:r>
      <w:r w:rsidR="00DD695A" w:rsidRPr="00DC0977">
        <w:rPr>
          <w:sz w:val="27"/>
          <w:szCs w:val="27"/>
        </w:rPr>
        <w:t xml:space="preserve"> </w:t>
      </w:r>
      <w:r w:rsidRPr="00DC0977">
        <w:rPr>
          <w:sz w:val="27"/>
          <w:szCs w:val="27"/>
        </w:rPr>
        <w:t xml:space="preserve">2029 </w:t>
      </w:r>
      <w:r w:rsidR="00A32D3A" w:rsidRPr="00DC0977">
        <w:rPr>
          <w:sz w:val="27"/>
          <w:szCs w:val="27"/>
        </w:rPr>
        <w:br/>
      </w:r>
      <w:r w:rsidRPr="00DC0977">
        <w:rPr>
          <w:sz w:val="27"/>
          <w:szCs w:val="27"/>
        </w:rPr>
        <w:t xml:space="preserve">«Об утверждении муниципальной программы «Содействие занятости населения в городе Новоалтайске на 2021-2025 годы» </w:t>
      </w:r>
      <w:r w:rsidRPr="00DC0977">
        <w:rPr>
          <w:color w:val="000000"/>
          <w:sz w:val="27"/>
          <w:szCs w:val="27"/>
        </w:rPr>
        <w:t xml:space="preserve">приводится в соответствие с решением </w:t>
      </w:r>
      <w:proofErr w:type="spellStart"/>
      <w:r w:rsidRPr="00DC0977">
        <w:rPr>
          <w:color w:val="000000"/>
          <w:sz w:val="27"/>
          <w:szCs w:val="27"/>
        </w:rPr>
        <w:t>Но</w:t>
      </w:r>
      <w:r w:rsidRPr="00DC0977">
        <w:rPr>
          <w:sz w:val="27"/>
          <w:szCs w:val="27"/>
        </w:rPr>
        <w:t>воалтайского</w:t>
      </w:r>
      <w:proofErr w:type="spellEnd"/>
      <w:r w:rsidRPr="00DC0977">
        <w:rPr>
          <w:sz w:val="27"/>
          <w:szCs w:val="27"/>
        </w:rPr>
        <w:t xml:space="preserve"> городского Собрания депутатов от 21.12.2021 № 33 «О бюджете городского округа города Новоалтайска на 2022 год и на плановый период 2023 и 2024 годы» (в редакции от 18.01.2022</w:t>
      </w:r>
      <w:proofErr w:type="gramEnd"/>
      <w:r w:rsidRPr="00DC0977">
        <w:rPr>
          <w:sz w:val="27"/>
          <w:szCs w:val="27"/>
        </w:rPr>
        <w:t xml:space="preserve"> № </w:t>
      </w:r>
      <w:proofErr w:type="gramStart"/>
      <w:r w:rsidRPr="00DC0977">
        <w:rPr>
          <w:sz w:val="27"/>
          <w:szCs w:val="27"/>
        </w:rPr>
        <w:t>2, от 15.03.2022 № 9, от 16.08.2022 № 23, от 20.12.2022 № 10) и решени</w:t>
      </w:r>
      <w:r w:rsidR="00EE14CE">
        <w:rPr>
          <w:sz w:val="27"/>
          <w:szCs w:val="27"/>
        </w:rPr>
        <w:t>ем</w:t>
      </w:r>
      <w:r w:rsidRPr="00DC0977">
        <w:rPr>
          <w:sz w:val="27"/>
          <w:szCs w:val="27"/>
        </w:rPr>
        <w:t xml:space="preserve"> </w:t>
      </w:r>
      <w:proofErr w:type="spellStart"/>
      <w:r w:rsidRPr="00DC0977">
        <w:rPr>
          <w:sz w:val="27"/>
          <w:szCs w:val="27"/>
        </w:rPr>
        <w:t>Новоалтайского</w:t>
      </w:r>
      <w:proofErr w:type="spellEnd"/>
      <w:r w:rsidRPr="00DC0977">
        <w:rPr>
          <w:sz w:val="27"/>
          <w:szCs w:val="27"/>
        </w:rPr>
        <w:t xml:space="preserve"> городского Собрания депутатов</w:t>
      </w:r>
      <w:r w:rsidRPr="00DC0977">
        <w:rPr>
          <w:color w:val="000000"/>
          <w:sz w:val="27"/>
          <w:szCs w:val="27"/>
        </w:rPr>
        <w:t xml:space="preserve"> от 20.12.2022 года № 9 </w:t>
      </w:r>
      <w:r w:rsidRPr="00DC0977">
        <w:rPr>
          <w:sz w:val="27"/>
          <w:szCs w:val="27"/>
        </w:rPr>
        <w:t>«О бюджете городского округа города Новоалтайска на 2023 год и на плановый период 2024 и 2025 годов».</w:t>
      </w:r>
      <w:proofErr w:type="gramEnd"/>
    </w:p>
    <w:p w:rsidR="00345E66" w:rsidRPr="00DC0977" w:rsidRDefault="00A32D3A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C0977">
        <w:rPr>
          <w:sz w:val="27"/>
          <w:szCs w:val="27"/>
        </w:rPr>
        <w:tab/>
      </w:r>
      <w:r w:rsidR="00345E66" w:rsidRPr="00DC0977">
        <w:rPr>
          <w:sz w:val="27"/>
          <w:szCs w:val="27"/>
        </w:rPr>
        <w:t xml:space="preserve">В соответствии с частью 2 статьи 157 Бюджетного кодекса Российской Федерации необходимо направлять в Контрольно-счетную палату города Новоалтайска на экспертизу проекты муниципальных программ, для осуществления бюджетных полномочий, в части касающейся расходных </w:t>
      </w:r>
      <w:r w:rsidRPr="00DC0977">
        <w:rPr>
          <w:sz w:val="27"/>
          <w:szCs w:val="27"/>
        </w:rPr>
        <w:t>обя</w:t>
      </w:r>
      <w:r w:rsidR="00345E66" w:rsidRPr="00DC0977">
        <w:rPr>
          <w:sz w:val="27"/>
          <w:szCs w:val="27"/>
        </w:rPr>
        <w:t>зательств муниципального образования (муниципальных программ). В дальнейшем обеспечить тождественность объема финансового обеспечения муниципальной программы плановым назначениям, предусмотренным на ее реализацию по соответствующей статье расходов бюджета, согласно статье 179 Бюджетного кодекса Российской Федерации.</w:t>
      </w:r>
      <w:r w:rsidR="00DD695A" w:rsidRPr="00DC0977">
        <w:rPr>
          <w:sz w:val="27"/>
          <w:szCs w:val="27"/>
        </w:rPr>
        <w:t xml:space="preserve"> Н</w:t>
      </w:r>
      <w:r w:rsidR="00345E66" w:rsidRPr="00DC0977">
        <w:rPr>
          <w:sz w:val="27"/>
          <w:szCs w:val="27"/>
        </w:rPr>
        <w:t>аправлять на экспертизу проекты постановлений Администрации</w:t>
      </w:r>
      <w:r w:rsidR="00DD695A" w:rsidRPr="00DC0977">
        <w:rPr>
          <w:sz w:val="27"/>
          <w:szCs w:val="27"/>
        </w:rPr>
        <w:t xml:space="preserve"> </w:t>
      </w:r>
      <w:r w:rsidR="00345E66" w:rsidRPr="00DC0977">
        <w:rPr>
          <w:sz w:val="27"/>
          <w:szCs w:val="27"/>
        </w:rPr>
        <w:t>Новоалтайска, изменяющие муниципальные программы.</w:t>
      </w:r>
    </w:p>
    <w:p w:rsidR="00DD695A" w:rsidRDefault="00DD695A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4A53AD" w:rsidRPr="00DC0977" w:rsidRDefault="004A53AD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D695A" w:rsidRPr="00DC0977" w:rsidRDefault="00DD695A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000"/>
      </w:tblPr>
      <w:tblGrid>
        <w:gridCol w:w="5387"/>
        <w:gridCol w:w="4441"/>
      </w:tblGrid>
      <w:tr w:rsidR="00345E66" w:rsidRPr="00DC0977" w:rsidTr="007078CB">
        <w:trPr>
          <w:trHeight w:val="1"/>
        </w:trPr>
        <w:tc>
          <w:tcPr>
            <w:tcW w:w="5387" w:type="dxa"/>
            <w:shd w:val="clear" w:color="000000" w:fill="FFFFFF"/>
          </w:tcPr>
          <w:p w:rsidR="00345E66" w:rsidRPr="00DC0977" w:rsidRDefault="00345E66" w:rsidP="00DC0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highlight w:val="white"/>
              </w:rPr>
            </w:pPr>
            <w:r w:rsidRPr="00DC0977">
              <w:rPr>
                <w:sz w:val="27"/>
                <w:szCs w:val="27"/>
                <w:highlight w:val="white"/>
              </w:rPr>
              <w:t>Председатель Контрольно-счетной палаты</w:t>
            </w:r>
          </w:p>
          <w:p w:rsidR="00345E66" w:rsidRPr="00DC0977" w:rsidRDefault="00345E66" w:rsidP="00DC0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C0977">
              <w:rPr>
                <w:sz w:val="27"/>
                <w:szCs w:val="27"/>
                <w:highlight w:val="white"/>
              </w:rPr>
              <w:t>города Новоалтайска Алтайского края</w:t>
            </w:r>
          </w:p>
        </w:tc>
        <w:tc>
          <w:tcPr>
            <w:tcW w:w="4441" w:type="dxa"/>
            <w:shd w:val="clear" w:color="000000" w:fill="FFFFFF"/>
          </w:tcPr>
          <w:p w:rsidR="00345E66" w:rsidRPr="00DC0977" w:rsidRDefault="00345E66" w:rsidP="00DC0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345E66" w:rsidRPr="00DC0977" w:rsidRDefault="00345E66" w:rsidP="00DC097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en-US"/>
              </w:rPr>
            </w:pPr>
            <w:r w:rsidRPr="00DC0977">
              <w:rPr>
                <w:sz w:val="27"/>
                <w:szCs w:val="27"/>
                <w:highlight w:val="white"/>
              </w:rPr>
              <w:t xml:space="preserve">         </w:t>
            </w:r>
            <w:r w:rsidR="00DC0977">
              <w:rPr>
                <w:sz w:val="27"/>
                <w:szCs w:val="27"/>
                <w:highlight w:val="white"/>
              </w:rPr>
              <w:t xml:space="preserve">                           </w:t>
            </w:r>
            <w:r w:rsidRPr="00DC0977">
              <w:rPr>
                <w:sz w:val="27"/>
                <w:szCs w:val="27"/>
                <w:highlight w:val="white"/>
              </w:rPr>
              <w:t xml:space="preserve"> С</w:t>
            </w:r>
            <w:r w:rsidRPr="00DC0977">
              <w:rPr>
                <w:sz w:val="27"/>
                <w:szCs w:val="27"/>
                <w:highlight w:val="white"/>
                <w:lang w:val="en-US"/>
              </w:rPr>
              <w:t>.</w:t>
            </w:r>
            <w:r w:rsidRPr="00DC0977">
              <w:rPr>
                <w:sz w:val="27"/>
                <w:szCs w:val="27"/>
                <w:highlight w:val="white"/>
              </w:rPr>
              <w:t>В</w:t>
            </w:r>
            <w:r w:rsidRPr="00DC0977">
              <w:rPr>
                <w:sz w:val="27"/>
                <w:szCs w:val="27"/>
                <w:highlight w:val="white"/>
                <w:lang w:val="en-US"/>
              </w:rPr>
              <w:t xml:space="preserve">. </w:t>
            </w:r>
            <w:r w:rsidRPr="00DC0977">
              <w:rPr>
                <w:sz w:val="27"/>
                <w:szCs w:val="27"/>
                <w:highlight w:val="white"/>
              </w:rPr>
              <w:t>Шабанов</w:t>
            </w:r>
          </w:p>
        </w:tc>
      </w:tr>
    </w:tbl>
    <w:p w:rsidR="00345E66" w:rsidRPr="00DC0977" w:rsidRDefault="00345E66" w:rsidP="00DC097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345E66" w:rsidRPr="00DC0977" w:rsidSect="00345E66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45E66"/>
    <w:rsid w:val="00095B9D"/>
    <w:rsid w:val="002C210E"/>
    <w:rsid w:val="002E3D44"/>
    <w:rsid w:val="00345E66"/>
    <w:rsid w:val="004A53AD"/>
    <w:rsid w:val="004B02E1"/>
    <w:rsid w:val="00551641"/>
    <w:rsid w:val="0066493C"/>
    <w:rsid w:val="007078CB"/>
    <w:rsid w:val="007479E1"/>
    <w:rsid w:val="00793F41"/>
    <w:rsid w:val="008502D8"/>
    <w:rsid w:val="008C6C88"/>
    <w:rsid w:val="009E03E8"/>
    <w:rsid w:val="00A32D3A"/>
    <w:rsid w:val="00AF38EB"/>
    <w:rsid w:val="00B15ADC"/>
    <w:rsid w:val="00C8113E"/>
    <w:rsid w:val="00DC0977"/>
    <w:rsid w:val="00DD695A"/>
    <w:rsid w:val="00EE14CE"/>
    <w:rsid w:val="00FB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135C-926E-484C-BB50-92FB3336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10</cp:revision>
  <cp:lastPrinted>2023-02-09T03:14:00Z</cp:lastPrinted>
  <dcterms:created xsi:type="dcterms:W3CDTF">2023-02-08T07:08:00Z</dcterms:created>
  <dcterms:modified xsi:type="dcterms:W3CDTF">2023-02-17T03:47:00Z</dcterms:modified>
</cp:coreProperties>
</file>