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C6F" w:rsidRDefault="003869AA">
      <w:pPr>
        <w:pStyle w:val="aff"/>
        <w:tabs>
          <w:tab w:val="clear" w:pos="4153"/>
          <w:tab w:val="clear" w:pos="8306"/>
        </w:tabs>
        <w:jc w:val="center"/>
      </w:pPr>
      <w:r>
        <w:rPr>
          <w:b/>
          <w:noProof/>
        </w:rPr>
        <mc:AlternateContent>
          <mc:Choice Requires="wpg">
            <w:drawing>
              <wp:inline distT="0" distB="0" distL="0" distR="0">
                <wp:extent cx="546238" cy="609533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6237" cy="6095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0pt;height:48.0pt;" stroked="f">
                <v:path textboxrect="0,0,0,0"/>
                <v:imagedata r:id="rId10" o:title=""/>
              </v:shape>
            </w:pict>
          </mc:Fallback>
        </mc:AlternateContent>
      </w:r>
    </w:p>
    <w:p w:rsidR="00115C6F" w:rsidRDefault="00115C6F">
      <w:pPr>
        <w:pStyle w:val="aff"/>
        <w:tabs>
          <w:tab w:val="clear" w:pos="4153"/>
          <w:tab w:val="clear" w:pos="8306"/>
        </w:tabs>
        <w:jc w:val="center"/>
        <w:rPr>
          <w:lang w:val="en-US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115C6F">
        <w:trPr>
          <w:trHeight w:val="102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15C6F" w:rsidRDefault="003869AA">
            <w:pPr>
              <w:pStyle w:val="7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20"/>
                <w:sz w:val="28"/>
                <w:szCs w:val="28"/>
              </w:rPr>
              <w:t>АДМИНИСТРАЦИЯ ГОРОДА НОВОАЛТАЙСКА</w:t>
            </w:r>
          </w:p>
          <w:p w:rsidR="00115C6F" w:rsidRDefault="003869AA">
            <w:pPr>
              <w:jc w:val="center"/>
            </w:pPr>
            <w:r>
              <w:rPr>
                <w:b/>
                <w:sz w:val="28"/>
                <w:szCs w:val="28"/>
              </w:rPr>
              <w:t>АЛТАЙСКОГО КРАЯ</w:t>
            </w:r>
          </w:p>
          <w:p w:rsidR="00115C6F" w:rsidRDefault="00115C6F">
            <w:pPr>
              <w:jc w:val="center"/>
              <w:rPr>
                <w:rFonts w:ascii="Arial" w:hAnsi="Arial"/>
              </w:rPr>
            </w:pPr>
          </w:p>
          <w:p w:rsidR="00115C6F" w:rsidRDefault="003869AA">
            <w:pPr>
              <w:pStyle w:val="2"/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b/>
                <w:spacing w:val="84"/>
                <w:sz w:val="32"/>
                <w:szCs w:val="32"/>
              </w:rPr>
              <w:t>ПОСТАНОВЛЕНИЕ</w:t>
            </w:r>
          </w:p>
        </w:tc>
      </w:tr>
      <w:tr w:rsidR="00115C6F">
        <w:trPr>
          <w:trHeight w:val="700"/>
        </w:trPr>
        <w:tc>
          <w:tcPr>
            <w:tcW w:w="96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115C6F" w:rsidRDefault="000513F9">
            <w:pPr>
              <w:jc w:val="center"/>
            </w:pPr>
            <w:r>
              <w:rPr>
                <w:sz w:val="28"/>
                <w:szCs w:val="28"/>
              </w:rPr>
              <w:t>05.05.</w:t>
            </w:r>
            <w:r w:rsidR="003869AA">
              <w:rPr>
                <w:sz w:val="28"/>
                <w:szCs w:val="28"/>
              </w:rPr>
              <w:t xml:space="preserve">2022                                                               </w:t>
            </w:r>
            <w:r>
              <w:rPr>
                <w:sz w:val="28"/>
                <w:szCs w:val="28"/>
              </w:rPr>
              <w:t xml:space="preserve">     </w:t>
            </w:r>
            <w:r w:rsidR="00490F2C">
              <w:rPr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      </w:t>
            </w:r>
            <w:r w:rsidR="003869AA">
              <w:rPr>
                <w:sz w:val="28"/>
                <w:szCs w:val="28"/>
              </w:rPr>
              <w:t xml:space="preserve">                      №</w:t>
            </w:r>
            <w:r>
              <w:rPr>
                <w:sz w:val="28"/>
                <w:szCs w:val="28"/>
              </w:rPr>
              <w:t xml:space="preserve"> 801</w:t>
            </w:r>
          </w:p>
          <w:p w:rsidR="00115C6F" w:rsidRDefault="003869AA">
            <w:pPr>
              <w:jc w:val="center"/>
            </w:pPr>
            <w:r>
              <w:rPr>
                <w:sz w:val="28"/>
                <w:szCs w:val="28"/>
              </w:rPr>
              <w:t>г. Новоалтайск</w:t>
            </w:r>
          </w:p>
        </w:tc>
      </w:tr>
    </w:tbl>
    <w:p w:rsidR="00115C6F" w:rsidRDefault="00115C6F">
      <w:pPr>
        <w:ind w:firstLine="720"/>
        <w:jc w:val="both"/>
      </w:pPr>
    </w:p>
    <w:p w:rsidR="00115C6F" w:rsidRDefault="00115C6F"/>
    <w:p w:rsidR="00115C6F" w:rsidRDefault="00115C6F">
      <w:pPr>
        <w:ind w:firstLine="720"/>
        <w:jc w:val="both"/>
      </w:pPr>
    </w:p>
    <w:p w:rsidR="00115C6F" w:rsidRDefault="003869AA">
      <w:pPr>
        <w:tabs>
          <w:tab w:val="left" w:pos="4500"/>
        </w:tabs>
        <w:ind w:right="4798"/>
        <w:jc w:val="both"/>
      </w:pPr>
      <w:r>
        <w:rPr>
          <w:sz w:val="28"/>
          <w:szCs w:val="28"/>
        </w:rPr>
        <w:t>О внесении изменения в постановление Администрации города Новоалтайска от 28.12.2020 № 2034 «Об утверждении муниципальной программы «Газификация города Новоалтайска на 2021-2025 годы»</w:t>
      </w:r>
    </w:p>
    <w:p w:rsidR="00115C6F" w:rsidRDefault="00115C6F">
      <w:pPr>
        <w:ind w:firstLine="720"/>
        <w:jc w:val="both"/>
      </w:pPr>
    </w:p>
    <w:p w:rsidR="00115C6F" w:rsidRDefault="00115C6F">
      <w:pPr>
        <w:ind w:firstLine="720"/>
        <w:jc w:val="both"/>
      </w:pPr>
    </w:p>
    <w:p w:rsidR="00115C6F" w:rsidRDefault="003869AA">
      <w:pPr>
        <w:ind w:firstLine="709"/>
        <w:jc w:val="both"/>
      </w:pPr>
      <w:r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решением Новоалтайского городского Собрания депутатов от 15.03.2022 № 9 </w:t>
      </w:r>
      <w:r>
        <w:rPr>
          <w:sz w:val="28"/>
          <w:szCs w:val="28"/>
        </w:rPr>
        <w:br/>
        <w:t xml:space="preserve">«О внесении изменений в решение Новоалтайского городского Собрания депутатов от 21.12.2021 № 33 «О бюджете городского округа города Новоалтайска на 2022 год и плановый период 2023 и 2024 годов» 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115C6F" w:rsidRDefault="003869AA">
      <w:pPr>
        <w:tabs>
          <w:tab w:val="left" w:pos="1800"/>
          <w:tab w:val="left" w:pos="8504"/>
        </w:tabs>
        <w:ind w:firstLine="709"/>
        <w:jc w:val="both"/>
      </w:pPr>
      <w:r>
        <w:rPr>
          <w:sz w:val="28"/>
          <w:szCs w:val="28"/>
        </w:rPr>
        <w:t xml:space="preserve">1. Внести в постановление Администрации города Новоалтайска </w:t>
      </w:r>
      <w:r>
        <w:rPr>
          <w:sz w:val="28"/>
          <w:szCs w:val="28"/>
        </w:rPr>
        <w:br/>
        <w:t>от 28.12.2020 № 2034 «Об утверждении муниципальной программы «Газификация города Новоалтайска на 2021-2025 годы» следующее изменение:</w:t>
      </w:r>
    </w:p>
    <w:p w:rsidR="00115C6F" w:rsidRDefault="003869AA">
      <w:pPr>
        <w:tabs>
          <w:tab w:val="left" w:pos="1800"/>
        </w:tabs>
        <w:ind w:firstLine="709"/>
        <w:jc w:val="both"/>
      </w:pPr>
      <w:r>
        <w:rPr>
          <w:sz w:val="28"/>
          <w:szCs w:val="28"/>
        </w:rPr>
        <w:t>приложение к указанному постановлению изложить в новой редакции согласно приложению к настоящему постановлению.</w:t>
      </w:r>
    </w:p>
    <w:p w:rsidR="00115C6F" w:rsidRDefault="003869AA">
      <w:pPr>
        <w:tabs>
          <w:tab w:val="num" w:pos="0"/>
          <w:tab w:val="num" w:pos="720"/>
          <w:tab w:val="left" w:pos="1440"/>
        </w:tabs>
        <w:ind w:firstLine="684"/>
        <w:jc w:val="both"/>
      </w:pPr>
      <w:r>
        <w:rPr>
          <w:sz w:val="28"/>
          <w:szCs w:val="28"/>
        </w:rPr>
        <w:t>2. Опубликовать настоящее постановление в Вестнике муниципального образования города Новоалтайска и разметить на официальном сайте города Новоалтайска в сети «Интернет».</w:t>
      </w:r>
    </w:p>
    <w:p w:rsidR="00115C6F" w:rsidRDefault="003869AA">
      <w:pPr>
        <w:tabs>
          <w:tab w:val="num" w:pos="0"/>
          <w:tab w:val="num" w:pos="720"/>
          <w:tab w:val="left" w:pos="1440"/>
        </w:tabs>
        <w:ind w:firstLine="684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первого заместителя главы Администрации города Лисовского С.И. </w:t>
      </w:r>
    </w:p>
    <w:p w:rsidR="00115C6F" w:rsidRDefault="00115C6F">
      <w:pPr>
        <w:pStyle w:val="af4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0"/>
        </w:tabs>
        <w:ind w:left="0" w:firstLine="709"/>
        <w:contextualSpacing/>
        <w:jc w:val="both"/>
      </w:pPr>
    </w:p>
    <w:p w:rsidR="00115C6F" w:rsidRDefault="00115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115C6F" w:rsidRDefault="00115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</w:pPr>
    </w:p>
    <w:p w:rsidR="00115C6F" w:rsidRDefault="003869AA">
      <w:r>
        <w:rPr>
          <w:sz w:val="28"/>
          <w:szCs w:val="28"/>
        </w:rPr>
        <w:t>Глава города                                                                                                В.Г. Бодунов</w:t>
      </w:r>
    </w:p>
    <w:p w:rsidR="00115C6F" w:rsidRDefault="00115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right" w:pos="9639"/>
        </w:tabs>
      </w:pP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115C6F" w:rsidRDefault="00115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115C6F" w:rsidRDefault="00115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115C6F" w:rsidRDefault="00115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115C6F" w:rsidRDefault="00115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115C6F" w:rsidRDefault="00115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115C6F" w:rsidRDefault="00115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115C6F" w:rsidRDefault="00115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115C6F" w:rsidRDefault="00115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lang w:eastAsia="en-US"/>
        </w:rPr>
      </w:pPr>
    </w:p>
    <w:p w:rsidR="00115C6F" w:rsidRDefault="003869AA">
      <w:pPr>
        <w:ind w:left="5669"/>
        <w:rPr>
          <w:sz w:val="24"/>
          <w:szCs w:val="28"/>
        </w:rPr>
      </w:pPr>
      <w:r>
        <w:rPr>
          <w:sz w:val="24"/>
          <w:szCs w:val="28"/>
        </w:rPr>
        <w:t xml:space="preserve">Приложение </w:t>
      </w:r>
    </w:p>
    <w:p w:rsidR="00115C6F" w:rsidRDefault="003869AA">
      <w:pPr>
        <w:spacing w:line="283" w:lineRule="atLeast"/>
        <w:ind w:left="5669"/>
        <w:contextualSpacing/>
        <w:rPr>
          <w:sz w:val="24"/>
          <w:szCs w:val="28"/>
        </w:rPr>
      </w:pPr>
      <w:r>
        <w:rPr>
          <w:sz w:val="24"/>
          <w:szCs w:val="28"/>
        </w:rPr>
        <w:t xml:space="preserve">к постановлению Администрации </w:t>
      </w:r>
    </w:p>
    <w:p w:rsidR="00115C6F" w:rsidRDefault="003869AA">
      <w:pPr>
        <w:spacing w:line="283" w:lineRule="atLeast"/>
        <w:ind w:left="5669"/>
        <w:contextualSpacing/>
        <w:rPr>
          <w:sz w:val="24"/>
        </w:rPr>
      </w:pPr>
      <w:r>
        <w:rPr>
          <w:sz w:val="24"/>
          <w:szCs w:val="28"/>
        </w:rPr>
        <w:t>города Новоалтайска</w:t>
      </w:r>
      <w:r>
        <w:rPr>
          <w:sz w:val="24"/>
        </w:rPr>
        <w:t xml:space="preserve"> </w:t>
      </w:r>
    </w:p>
    <w:p w:rsidR="00115C6F" w:rsidRDefault="000513F9">
      <w:pPr>
        <w:pStyle w:val="ConsPlusTitle"/>
        <w:spacing w:line="283" w:lineRule="atLeast"/>
        <w:ind w:left="5669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b w:val="0"/>
          <w:sz w:val="24"/>
          <w:szCs w:val="28"/>
        </w:rPr>
        <w:t>05.05.2022</w:t>
      </w:r>
      <w:r w:rsidR="003869AA">
        <w:rPr>
          <w:rFonts w:ascii="Times New Roman" w:hAnsi="Times New Roman"/>
          <w:b w:val="0"/>
          <w:sz w:val="24"/>
          <w:szCs w:val="28"/>
        </w:rPr>
        <w:t xml:space="preserve"> № </w:t>
      </w:r>
      <w:r>
        <w:rPr>
          <w:rFonts w:ascii="Times New Roman" w:hAnsi="Times New Roman"/>
          <w:b w:val="0"/>
          <w:sz w:val="24"/>
          <w:szCs w:val="28"/>
        </w:rPr>
        <w:t>801</w:t>
      </w: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3" w:lineRule="atLeast"/>
        <w:ind w:left="5669"/>
        <w:contextualSpacing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83" w:lineRule="atLeast"/>
        <w:ind w:left="5669"/>
        <w:contextualSpacing/>
        <w:rPr>
          <w:sz w:val="24"/>
          <w:szCs w:val="24"/>
        </w:rPr>
      </w:pPr>
    </w:p>
    <w:p w:rsidR="00115C6F" w:rsidRDefault="003869AA">
      <w:pPr>
        <w:spacing w:line="283" w:lineRule="atLeast"/>
        <w:ind w:left="5669"/>
        <w:contextualSpacing/>
        <w:rPr>
          <w:sz w:val="24"/>
        </w:rPr>
      </w:pPr>
      <w:r>
        <w:rPr>
          <w:sz w:val="24"/>
          <w:szCs w:val="28"/>
        </w:rPr>
        <w:t xml:space="preserve">«Приложение </w:t>
      </w:r>
    </w:p>
    <w:p w:rsidR="00115C6F" w:rsidRDefault="003869AA">
      <w:pPr>
        <w:spacing w:line="283" w:lineRule="atLeast"/>
        <w:ind w:left="5669"/>
        <w:contextualSpacing/>
        <w:rPr>
          <w:sz w:val="24"/>
          <w:szCs w:val="28"/>
        </w:rPr>
      </w:pPr>
      <w:r>
        <w:rPr>
          <w:sz w:val="24"/>
          <w:szCs w:val="28"/>
        </w:rPr>
        <w:t xml:space="preserve">к постановлению Администрации </w:t>
      </w:r>
    </w:p>
    <w:p w:rsidR="00115C6F" w:rsidRDefault="003869AA">
      <w:pPr>
        <w:spacing w:line="283" w:lineRule="atLeast"/>
        <w:ind w:left="5669"/>
        <w:contextualSpacing/>
        <w:rPr>
          <w:sz w:val="24"/>
        </w:rPr>
      </w:pPr>
      <w:r>
        <w:rPr>
          <w:sz w:val="24"/>
          <w:szCs w:val="28"/>
        </w:rPr>
        <w:t>города Новоалтайска</w:t>
      </w:r>
      <w:r>
        <w:rPr>
          <w:sz w:val="24"/>
        </w:rPr>
        <w:t xml:space="preserve"> </w:t>
      </w:r>
    </w:p>
    <w:p w:rsidR="00115C6F" w:rsidRDefault="003869A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83" w:lineRule="atLeast"/>
        <w:ind w:left="5669"/>
        <w:contextualSpacing/>
        <w:rPr>
          <w:sz w:val="24"/>
        </w:rPr>
      </w:pPr>
      <w:r>
        <w:rPr>
          <w:sz w:val="24"/>
          <w:szCs w:val="24"/>
        </w:rPr>
        <w:t>от 28.12.2020 № 2034</w:t>
      </w: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3869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МУНИЦИПАЛЬНАЯ ПРОГРАММА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«Газификация города Новоалтайска на 2021-2025 годы»</w:t>
      </w: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32"/>
          <w:szCs w:val="32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center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115C6F" w:rsidRDefault="003869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8"/>
          <w:szCs w:val="24"/>
        </w:rPr>
      </w:pPr>
      <w:r>
        <w:rPr>
          <w:sz w:val="28"/>
          <w:szCs w:val="24"/>
        </w:rPr>
        <w:t>г. Новоалтайск</w:t>
      </w:r>
    </w:p>
    <w:p w:rsidR="00115C6F" w:rsidRDefault="003869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>1.- ПАСПОРТ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муниципальной программы 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«Газификация города Новоалтайска на 2021-2025 годы»</w:t>
      </w:r>
    </w:p>
    <w:p w:rsidR="00115C6F" w:rsidRDefault="003869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(далее - программа)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</w:p>
    <w:tbl>
      <w:tblPr>
        <w:tblW w:w="10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06"/>
        <w:gridCol w:w="8082"/>
      </w:tblGrid>
      <w:tr w:rsidR="00115C6F">
        <w:trPr>
          <w:trHeight w:val="977"/>
          <w:jc w:val="center"/>
        </w:trPr>
        <w:tc>
          <w:tcPr>
            <w:tcW w:w="2106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исполнитель программы </w:t>
            </w:r>
          </w:p>
        </w:tc>
        <w:tc>
          <w:tcPr>
            <w:tcW w:w="8082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Администрации города Новоалтайска по жилищно-коммунальному, газовому хозяйству, энергетике, транспорту и строительству (далее - Комитет ЖКГХЭТС)</w:t>
            </w:r>
          </w:p>
        </w:tc>
      </w:tr>
      <w:tr w:rsidR="00115C6F">
        <w:trPr>
          <w:trHeight w:val="340"/>
          <w:jc w:val="center"/>
        </w:trPr>
        <w:tc>
          <w:tcPr>
            <w:tcW w:w="2106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программы</w:t>
            </w:r>
          </w:p>
        </w:tc>
        <w:tc>
          <w:tcPr>
            <w:tcW w:w="8082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</w:t>
            </w:r>
          </w:p>
        </w:tc>
      </w:tr>
      <w:tr w:rsidR="00115C6F">
        <w:trPr>
          <w:trHeight w:val="340"/>
          <w:jc w:val="center"/>
        </w:trPr>
        <w:tc>
          <w:tcPr>
            <w:tcW w:w="2106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программы</w:t>
            </w:r>
          </w:p>
        </w:tc>
        <w:tc>
          <w:tcPr>
            <w:tcW w:w="8082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деления на подпрограммы</w:t>
            </w:r>
          </w:p>
        </w:tc>
      </w:tr>
      <w:tr w:rsidR="00115C6F">
        <w:trPr>
          <w:trHeight w:val="340"/>
          <w:jc w:val="center"/>
        </w:trPr>
        <w:tc>
          <w:tcPr>
            <w:tcW w:w="2106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</w:t>
            </w:r>
          </w:p>
        </w:tc>
        <w:tc>
          <w:tcPr>
            <w:tcW w:w="8082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надежного устойчивого функционирования источников теплоснабжения и улучшение </w:t>
            </w:r>
            <w:proofErr w:type="gramStart"/>
            <w:r>
              <w:rPr>
                <w:bCs/>
                <w:sz w:val="24"/>
                <w:szCs w:val="24"/>
              </w:rPr>
              <w:t>качества жизни населения города Новоалтайска</w:t>
            </w:r>
            <w:proofErr w:type="gramEnd"/>
            <w:r>
              <w:rPr>
                <w:bCs/>
                <w:sz w:val="24"/>
                <w:szCs w:val="24"/>
              </w:rPr>
              <w:t>.</w:t>
            </w:r>
          </w:p>
        </w:tc>
      </w:tr>
      <w:tr w:rsidR="00115C6F">
        <w:trPr>
          <w:trHeight w:val="340"/>
          <w:jc w:val="center"/>
        </w:trPr>
        <w:tc>
          <w:tcPr>
            <w:tcW w:w="2106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8082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1. П</w:t>
            </w:r>
            <w:r>
              <w:rPr>
                <w:bCs/>
                <w:sz w:val="24"/>
                <w:szCs w:val="24"/>
              </w:rPr>
              <w:t>роектно-изыскательские работы;</w:t>
            </w:r>
          </w:p>
          <w:p w:rsidR="00115C6F" w:rsidRDefault="003869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Обслуживание и страхование объектов газоснабжения</w:t>
            </w:r>
          </w:p>
        </w:tc>
      </w:tr>
      <w:tr w:rsidR="00115C6F">
        <w:trPr>
          <w:trHeight w:val="340"/>
          <w:jc w:val="center"/>
        </w:trPr>
        <w:tc>
          <w:tcPr>
            <w:tcW w:w="2106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8082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Уровень обеспечения подключения к газовым сетям (индивидуальные жилые строения (ИЖС);</w:t>
            </w:r>
          </w:p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Протяженность газовых сетей на территории муниципального образования с учетом введенных в эксплуатацию;</w:t>
            </w:r>
          </w:p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Количество газифицированных квартир и  индивидуальных жилых домов (договоры с 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Новосибирск, филиал в Алтайском крае в Барнауле);</w:t>
            </w:r>
          </w:p>
          <w:p w:rsidR="00115C6F" w:rsidRDefault="003869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Количество обслуживаемых и застрахованных объектов газоснабжения.</w:t>
            </w:r>
          </w:p>
        </w:tc>
      </w:tr>
      <w:tr w:rsidR="00115C6F">
        <w:trPr>
          <w:trHeight w:val="520"/>
          <w:jc w:val="center"/>
        </w:trPr>
        <w:tc>
          <w:tcPr>
            <w:tcW w:w="2106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8082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реализуется с 2021 по 2025 годы без деления на этапы.</w:t>
            </w:r>
          </w:p>
        </w:tc>
      </w:tr>
      <w:tr w:rsidR="00115C6F">
        <w:trPr>
          <w:trHeight w:val="3493"/>
          <w:jc w:val="center"/>
        </w:trPr>
        <w:tc>
          <w:tcPr>
            <w:tcW w:w="2106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финансирования программы</w:t>
            </w:r>
          </w:p>
        </w:tc>
        <w:tc>
          <w:tcPr>
            <w:tcW w:w="8082" w:type="dxa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средств, направляемых на реализацию программы – </w:t>
            </w:r>
            <w:r>
              <w:rPr>
                <w:bCs/>
                <w:sz w:val="24"/>
                <w:szCs w:val="24"/>
              </w:rPr>
              <w:t>14595,0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рублей:</w:t>
            </w:r>
          </w:p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6000,0 тыс. руб.,</w:t>
            </w:r>
          </w:p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– 6000,0 тыс. руб.;</w:t>
            </w:r>
          </w:p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 год – 2595,0 тыс. руб. </w:t>
            </w:r>
          </w:p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– 2595,0 тыс. руб.;</w:t>
            </w:r>
          </w:p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2023 год – 1000,0 тыс. руб. </w:t>
            </w:r>
          </w:p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бюджет городского округа – 1000,0 тыс. руб.;</w:t>
            </w:r>
          </w:p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2000,0 тыс. руб. </w:t>
            </w:r>
          </w:p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бюджет городского округа – 2000,0 тыс. руб.; </w:t>
            </w:r>
          </w:p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2025год – 3000,0 тыс. руб., </w:t>
            </w:r>
          </w:p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бюджет городского округа – 3000,0 тыс. руб.; </w:t>
            </w:r>
          </w:p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0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Объемы финансирования подлежат ежегодному уточнению в соответствии с бюджетом, утвержденным на очередной год.</w:t>
            </w:r>
          </w:p>
        </w:tc>
      </w:tr>
      <w:tr w:rsidR="00115C6F">
        <w:trPr>
          <w:trHeight w:val="1407"/>
          <w:jc w:val="center"/>
        </w:trPr>
        <w:tc>
          <w:tcPr>
            <w:tcW w:w="2106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Ожидаемые результаты реализации программы</w:t>
            </w:r>
          </w:p>
        </w:tc>
        <w:tc>
          <w:tcPr>
            <w:tcW w:w="8082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1. Увеличение уровня обеспечения подключения к газовым сетям на 5,4 %;</w:t>
            </w:r>
          </w:p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2. Увеличение протяженности газовых сетей  на 46,7 км;</w:t>
            </w:r>
          </w:p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3. Увеличение газифицированных квартир и индивидуальных жилых домов  на 1600 ед.</w:t>
            </w:r>
          </w:p>
          <w:p w:rsidR="00115C6F" w:rsidRDefault="003869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4. Обслуживание и страхование 2 объектов газоснабжения.</w:t>
            </w:r>
          </w:p>
        </w:tc>
      </w:tr>
    </w:tbl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Общая характеристика сферы реализации муниципальной программы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Основной проблемой в сфере газификации города Новоалтайска является недостаточная пропускная способность газораспределительной системы для развития города. В условиях ограниченного финансирования, принимаемые меры должны носить направленный целевой характер, для чего необходимо применение программно-целевого подхода.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Использование природного газа в городе способно качественно изменить экономическую и социальную ситуацию, обеспечить более надежное электроснабжение и теплоснабжение города. В результате газификации снижаются затраты потребителей на приобретение топлива, появляется возможность отказаться от складского хозяйства, шлакоудаления, повышается комфортность бытовых условий, улучшение экологической обстановки в городе.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Ежегодно, строительство сетей газоснабжения в городе Новоалтайске ведется в рамках реализации программы газификации «О газификации Алтайского края», начиная с 1999 года. Газификация осуществляется поэтапно, с учетом развития разводящих сетей и модернизации объектов ЖКХ во всех районах города, включая секторы индивидуальной и многоэтажной жилой застройки. В настоящее время в городе Новоалтайске население использует природный газ на отопление, </w:t>
      </w:r>
      <w:proofErr w:type="spellStart"/>
      <w:r>
        <w:rPr>
          <w:sz w:val="24"/>
          <w:szCs w:val="24"/>
        </w:rPr>
        <w:t>пищеприготовление</w:t>
      </w:r>
      <w:proofErr w:type="spellEnd"/>
      <w:r>
        <w:rPr>
          <w:sz w:val="24"/>
          <w:szCs w:val="24"/>
        </w:rPr>
        <w:t xml:space="preserve"> и подогрев воды для хозяйственно-бытовых нужд в жилых домах. 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 период действия муниципальной программы «Газификация города Новоалтайска на 2016-2020 годы» достигнуты следующие показатели: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уровень газификации индивидуальной жилой застройки, с учетом подключения всех потребителей, предусмотренных проектами (домов, в </w:t>
      </w:r>
      <w:proofErr w:type="spellStart"/>
      <w:r>
        <w:rPr>
          <w:sz w:val="24"/>
          <w:szCs w:val="24"/>
        </w:rPr>
        <w:t>т.ч</w:t>
      </w:r>
      <w:proofErr w:type="spellEnd"/>
      <w:r>
        <w:rPr>
          <w:sz w:val="24"/>
          <w:szCs w:val="24"/>
        </w:rPr>
        <w:t>. многоквартирной блочной застройки) – 1,77 %.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построено сетей газоснабжения – 48,56 км.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- газифицировано квартир, домов - 848 ед.;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переведено на природный газ и построено котельных различной мощности и форм собственности - 4 ед.;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Значительные объемы строительства объектов газификации в различных районах города стали возможны благодаря включению данных объектов в инвестиционную программу финансирования объектов газоснабжения за счет привлеченных средств ОАО «Газпром» и средств бюджета Алтайского края.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3. Общая характеристика муниципальной программы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rPr>
          <w:sz w:val="24"/>
          <w:szCs w:val="24"/>
        </w:rPr>
      </w:pP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3.1. Приоритеты муниципальной политики в сфере реализации муниципальной программы.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outlineLvl w:val="2"/>
        <w:rPr>
          <w:sz w:val="24"/>
          <w:szCs w:val="24"/>
        </w:rPr>
      </w:pPr>
    </w:p>
    <w:p w:rsidR="00115C6F" w:rsidRDefault="003869AA">
      <w:pPr>
        <w:pStyle w:val="jusco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FFFFFF" w:fill="FFFFFF"/>
        <w:spacing w:before="0" w:beforeAutospacing="0" w:after="0" w:afterAutospacing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Приоритеты муниципальной политики в сфере реализации муниципальной программы определены:</w:t>
      </w:r>
    </w:p>
    <w:p w:rsidR="00115C6F" w:rsidRDefault="003869AA">
      <w:pPr>
        <w:pStyle w:val="jusco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FFFFFF" w:fill="FFFFFF"/>
        <w:spacing w:before="0" w:beforeAutospacing="0" w:after="0" w:afterAutospacing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Градостроительным кодексом Российской Федерации;</w:t>
      </w:r>
    </w:p>
    <w:p w:rsidR="00115C6F" w:rsidRDefault="003869AA">
      <w:pPr>
        <w:pStyle w:val="juscon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FFFFFF" w:fill="FFFFFF"/>
        <w:spacing w:before="0" w:beforeAutospacing="0" w:after="0" w:afterAutospacing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«О газоснабжении в Российской Федерации» от 31.03.1999             № 69-ФЗ (с изменениями и дополнениями);</w:t>
      </w:r>
    </w:p>
    <w:p w:rsidR="00115C6F" w:rsidRDefault="003869AA">
      <w:pPr>
        <w:pStyle w:val="ConsPlusNormal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Программой «Обеспечение населения Алтайского края жилищно-коммунальными услугами», утвержденной постановлением Администрации Алтайского края от 31.07.2019                  № 297 (подпрограмма 3 «Газификация Алтайского края»).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Первоочередному выполнению подлежат работы на следующих объектах газификации: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подлежащих проектированию и строительству для выполнения обязательств Администрации Алтайского края по плану-графику </w:t>
      </w:r>
      <w:proofErr w:type="gramStart"/>
      <w:r>
        <w:rPr>
          <w:sz w:val="24"/>
          <w:szCs w:val="24"/>
        </w:rPr>
        <w:t>синхронизации выполнения программ газификации регионов Российской Федерации</w:t>
      </w:r>
      <w:proofErr w:type="gramEnd"/>
      <w:r>
        <w:rPr>
          <w:sz w:val="24"/>
          <w:szCs w:val="24"/>
        </w:rPr>
        <w:t xml:space="preserve">; 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gramStart"/>
      <w:r>
        <w:rPr>
          <w:sz w:val="24"/>
          <w:szCs w:val="24"/>
        </w:rPr>
        <w:t>строительство</w:t>
      </w:r>
      <w:proofErr w:type="gramEnd"/>
      <w:r>
        <w:rPr>
          <w:sz w:val="24"/>
          <w:szCs w:val="24"/>
        </w:rPr>
        <w:t xml:space="preserve"> которых не завершено и которые имеют высокую степень технической готовности; 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не </w:t>
      </w:r>
      <w:proofErr w:type="gramStart"/>
      <w:r>
        <w:rPr>
          <w:sz w:val="24"/>
          <w:szCs w:val="24"/>
        </w:rPr>
        <w:t>реализованных</w:t>
      </w:r>
      <w:proofErr w:type="gramEnd"/>
      <w:r>
        <w:rPr>
          <w:sz w:val="24"/>
          <w:szCs w:val="24"/>
        </w:rPr>
        <w:t xml:space="preserve"> до 2021 года, проектно-сметная документация на которые разработана ранее (2008 – 2019 годы);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- проектирования и строительства газопроводов высокого и среднего давления в секторах индивидуальной жилой застройки отдаленных районов города, основную категорию населения которых составляют пенсионеры, ветераны и инвалиды;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проектирования и строительства котельных на природном газе, обеспечивающих деятельность муниципальных </w:t>
      </w:r>
      <w:proofErr w:type="spellStart"/>
      <w:r>
        <w:rPr>
          <w:sz w:val="24"/>
          <w:szCs w:val="24"/>
        </w:rPr>
        <w:t>ресурсоснабжающих</w:t>
      </w:r>
      <w:proofErr w:type="spellEnd"/>
      <w:r>
        <w:rPr>
          <w:sz w:val="24"/>
          <w:szCs w:val="24"/>
        </w:rPr>
        <w:t xml:space="preserve"> предприятий и бюджетных учреждений.</w:t>
      </w: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3.2. Характеристика цели, задач и конечных результатов реализации муниципальной программы</w:t>
      </w: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муниципальной программы является обеспечение надежного устойчивого функционирования источников теплоснабжения и улучшение </w:t>
      </w:r>
      <w:proofErr w:type="gramStart"/>
      <w:r>
        <w:rPr>
          <w:sz w:val="24"/>
          <w:szCs w:val="24"/>
        </w:rPr>
        <w:t>качества жизни населения города Новоалтайска</w:t>
      </w:r>
      <w:proofErr w:type="gramEnd"/>
      <w:r>
        <w:rPr>
          <w:sz w:val="24"/>
          <w:szCs w:val="24"/>
        </w:rPr>
        <w:t>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rPr>
          <w:bCs/>
          <w:sz w:val="24"/>
          <w:szCs w:val="24"/>
        </w:rPr>
      </w:pPr>
      <w:r>
        <w:rPr>
          <w:sz w:val="24"/>
          <w:szCs w:val="24"/>
        </w:rPr>
        <w:t>Для достижения поставленной цели требуется решение следующих задач:</w:t>
      </w:r>
    </w:p>
    <w:p w:rsidR="00115C6F" w:rsidRDefault="003869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sz w:val="24"/>
          <w:szCs w:val="24"/>
        </w:rPr>
      </w:pPr>
      <w:r>
        <w:rPr>
          <w:bCs/>
          <w:iCs/>
          <w:sz w:val="24"/>
          <w:szCs w:val="24"/>
        </w:rPr>
        <w:t>1. П</w:t>
      </w:r>
      <w:r>
        <w:rPr>
          <w:bCs/>
          <w:sz w:val="24"/>
          <w:szCs w:val="24"/>
        </w:rPr>
        <w:t>роектно-изыскательские работы.</w:t>
      </w:r>
    </w:p>
    <w:p w:rsidR="00115C6F" w:rsidRDefault="003869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>
        <w:rPr>
          <w:sz w:val="24"/>
          <w:szCs w:val="24"/>
        </w:rPr>
        <w:t>Обслуживание и страхование объектов газоснабжения.</w:t>
      </w:r>
    </w:p>
    <w:p w:rsidR="00115C6F" w:rsidRDefault="003869AA">
      <w:pPr>
        <w:pStyle w:val="ConsPlusNormal"/>
        <w:tabs>
          <w:tab w:val="num" w:pos="0"/>
        </w:tabs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Целевые показатели муниципальной программы приведены в </w:t>
      </w:r>
      <w:hyperlink r:id="rId11" w:tooltip="consultantplus://offline/ref=B99AF84EF959FA3B3A71381E905DEDA4CE7D5F5C543F4CC080218A510A7620C18B1C167A7B9BB3471A875C7CP2C" w:history="1">
        <w:r>
          <w:rPr>
            <w:sz w:val="24"/>
            <w:szCs w:val="24"/>
          </w:rPr>
          <w:t>приложении 1</w:t>
        </w:r>
      </w:hyperlink>
      <w:r>
        <w:rPr>
          <w:sz w:val="24"/>
          <w:szCs w:val="24"/>
        </w:rPr>
        <w:t xml:space="preserve"> к настоящей программе.</w:t>
      </w:r>
    </w:p>
    <w:p w:rsidR="00115C6F" w:rsidRDefault="003869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Ожидаемые результаты муниципальной программы: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rPr>
          <w:sz w:val="24"/>
          <w:szCs w:val="24"/>
        </w:rPr>
      </w:pPr>
      <w:r>
        <w:rPr>
          <w:sz w:val="24"/>
          <w:szCs w:val="24"/>
        </w:rPr>
        <w:t>1. Увеличение уровня обеспечения подключения к газовым сетям  на 5,4 %;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rPr>
          <w:sz w:val="24"/>
          <w:szCs w:val="24"/>
        </w:rPr>
      </w:pPr>
      <w:r>
        <w:rPr>
          <w:sz w:val="24"/>
          <w:szCs w:val="24"/>
        </w:rPr>
        <w:t>2. Увеличение протяженности газовых сетей  на 46,7 км;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Увеличение газифицированных квартир и индивидуальных жилых домов  на 1600 ед.</w:t>
      </w:r>
    </w:p>
    <w:p w:rsidR="00115C6F" w:rsidRDefault="003869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firstLine="708"/>
        <w:jc w:val="both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4. Обслуживание и страхование 2 объектов газоснабжения.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мероприятий программы будет способствовать решению задач, определенных приоритетными направлениями социально-экономического развития города на среднесрочную перспективу.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Итогом реализации мероприятий, направленных на достижение главной цели, является обеспечение качественного и надежного снабжения потребителей теплом, при минимальном негативном воздействии на окружающую среду, в условиях максимально возможного комфорта.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Инвестиционные мероприятия по реализации программы направлены на завершение строительства и ввод в эксплуатацию объектов газификации, имеющих социальное значение, а также на новое строительство объектов газификации города.</w:t>
      </w:r>
    </w:p>
    <w:p w:rsidR="00115C6F" w:rsidRDefault="00115C6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both"/>
        <w:rPr>
          <w:sz w:val="24"/>
          <w:szCs w:val="24"/>
        </w:rPr>
      </w:pPr>
    </w:p>
    <w:p w:rsidR="00115C6F" w:rsidRDefault="003869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Информация о порядке расчета значений индикаторов муниципальной программы:</w:t>
      </w: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3226"/>
        <w:gridCol w:w="4819"/>
        <w:gridCol w:w="1522"/>
      </w:tblGrid>
      <w:tr w:rsidR="00115C6F">
        <w:trPr>
          <w:cantSplit/>
          <w:trHeight w:val="227"/>
          <w:tblHeader/>
        </w:trPr>
        <w:tc>
          <w:tcPr>
            <w:tcW w:w="533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№ </w:t>
            </w:r>
            <w:proofErr w:type="gramStart"/>
            <w:r>
              <w:rPr>
                <w:sz w:val="22"/>
                <w:szCs w:val="24"/>
              </w:rPr>
              <w:t>п</w:t>
            </w:r>
            <w:proofErr w:type="gramEnd"/>
            <w:r>
              <w:rPr>
                <w:sz w:val="22"/>
                <w:szCs w:val="24"/>
              </w:rPr>
              <w:t>/п</w:t>
            </w:r>
          </w:p>
        </w:tc>
        <w:tc>
          <w:tcPr>
            <w:tcW w:w="3226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Наименование индикатора</w:t>
            </w:r>
          </w:p>
        </w:tc>
        <w:tc>
          <w:tcPr>
            <w:tcW w:w="4819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Методика расчета значения целевого индикатора</w:t>
            </w:r>
          </w:p>
        </w:tc>
        <w:tc>
          <w:tcPr>
            <w:tcW w:w="1522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Источник получения данных</w:t>
            </w:r>
          </w:p>
        </w:tc>
      </w:tr>
      <w:tr w:rsidR="00115C6F">
        <w:trPr>
          <w:cantSplit/>
          <w:trHeight w:val="227"/>
        </w:trPr>
        <w:tc>
          <w:tcPr>
            <w:tcW w:w="533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3226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 Уровень обеспечения подключения к газовым сетям (индивидуальные жилые строения (ИЖС))</w:t>
            </w:r>
          </w:p>
        </w:tc>
        <w:tc>
          <w:tcPr>
            <w:tcW w:w="4819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  <w:highlight w:val="yellow"/>
              </w:rPr>
            </w:pPr>
            <w:r>
              <w:rPr>
                <w:sz w:val="22"/>
                <w:szCs w:val="24"/>
              </w:rPr>
              <w:t xml:space="preserve">Уровень обеспечения подключения к газовым сетям за предыдущий год умножить на количество газифицированных квартир и индивидуальных жилых домов текущего года и разделить на количество газифицированных квартир и индивидуальных жилых домов за предыдущий год </w:t>
            </w:r>
          </w:p>
        </w:tc>
        <w:tc>
          <w:tcPr>
            <w:tcW w:w="1522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Комитет ЖКГХЭТС</w:t>
            </w:r>
          </w:p>
        </w:tc>
      </w:tr>
      <w:tr w:rsidR="00115C6F">
        <w:trPr>
          <w:cantSplit/>
          <w:trHeight w:val="227"/>
        </w:trPr>
        <w:tc>
          <w:tcPr>
            <w:tcW w:w="533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3226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2"/>
                <w:szCs w:val="24"/>
                <w:highlight w:val="yellow"/>
              </w:rPr>
            </w:pPr>
            <w:r>
              <w:rPr>
                <w:sz w:val="22"/>
                <w:szCs w:val="24"/>
              </w:rPr>
              <w:t>2. Протяженность газовых сетей на территории муниципального образования с учетом введенных в эксплуатацию</w:t>
            </w:r>
          </w:p>
        </w:tc>
        <w:tc>
          <w:tcPr>
            <w:tcW w:w="4819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1522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Комитет ЖКГХЭТС</w:t>
            </w:r>
          </w:p>
        </w:tc>
      </w:tr>
      <w:tr w:rsidR="00115C6F">
        <w:trPr>
          <w:cantSplit/>
          <w:trHeight w:val="227"/>
        </w:trPr>
        <w:tc>
          <w:tcPr>
            <w:tcW w:w="533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3226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3. Количество газифицированных квартир и индивидуальных жилых домов (договоры с Газпром </w:t>
            </w:r>
            <w:proofErr w:type="spellStart"/>
            <w:r>
              <w:rPr>
                <w:sz w:val="22"/>
                <w:szCs w:val="24"/>
              </w:rPr>
              <w:t>межрегионгаз</w:t>
            </w:r>
            <w:proofErr w:type="spellEnd"/>
            <w:r>
              <w:rPr>
                <w:sz w:val="22"/>
                <w:szCs w:val="24"/>
              </w:rPr>
              <w:t xml:space="preserve"> Новосибирск, филиал в Алтайском крае в Барнауле).</w:t>
            </w:r>
          </w:p>
        </w:tc>
        <w:tc>
          <w:tcPr>
            <w:tcW w:w="4819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1522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Комитет ЖКГХЭТС</w:t>
            </w:r>
          </w:p>
        </w:tc>
      </w:tr>
      <w:tr w:rsidR="00115C6F">
        <w:trPr>
          <w:trHeight w:val="253"/>
        </w:trPr>
        <w:tc>
          <w:tcPr>
            <w:tcW w:w="533" w:type="dxa"/>
            <w:vMerge w:val="restart"/>
            <w:vAlign w:val="center"/>
          </w:tcPr>
          <w:p w:rsidR="00115C6F" w:rsidRDefault="003869A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3226" w:type="dxa"/>
            <w:vMerge w:val="restart"/>
            <w:vAlign w:val="center"/>
          </w:tcPr>
          <w:p w:rsidR="00115C6F" w:rsidRDefault="003869A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4. Количество обслуживаемых и застрахованных объектов газоснабжения </w:t>
            </w:r>
          </w:p>
        </w:tc>
        <w:tc>
          <w:tcPr>
            <w:tcW w:w="4819" w:type="dxa"/>
            <w:vMerge w:val="restart"/>
            <w:vAlign w:val="center"/>
          </w:tcPr>
          <w:p w:rsidR="00115C6F" w:rsidRDefault="003869A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</w:rPr>
            </w:pPr>
            <w:r>
              <w:rPr>
                <w:sz w:val="22"/>
                <w:szCs w:val="24"/>
              </w:rPr>
              <w:t>Значение целевого индикатора не рассчитывается</w:t>
            </w:r>
          </w:p>
        </w:tc>
        <w:tc>
          <w:tcPr>
            <w:tcW w:w="1522" w:type="dxa"/>
            <w:vMerge w:val="restart"/>
            <w:vAlign w:val="center"/>
          </w:tcPr>
          <w:p w:rsidR="00115C6F" w:rsidRDefault="003869A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Комитет ЖКГХЭТС</w:t>
            </w:r>
          </w:p>
        </w:tc>
      </w:tr>
    </w:tbl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Перечень индикаторов муниципальной программы представлен в приложении 1.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4. Общая характеристика мероприятий муниципальной программы, сроков и этапов их реализации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</w:rPr>
      </w:pPr>
    </w:p>
    <w:p w:rsidR="00115C6F" w:rsidRDefault="003869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Перечень программных мероприятий определен исходя из необходимости достижения ее цели и задачи.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Перечень мероприятий программы представлен в приложении 2.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программы «Газификация города Новоалтайска на 2021 - 2025 годы» реализуется с 2021 по 2025 годы без деления на этапы.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sz w:val="24"/>
          <w:szCs w:val="24"/>
        </w:rPr>
      </w:pPr>
    </w:p>
    <w:p w:rsidR="00115C6F" w:rsidRDefault="003869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5. Общий объем финансовых ресурсов, необходимых для реализации муниципальной программы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4"/>
          <w:szCs w:val="24"/>
        </w:rPr>
      </w:pP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Общий объем финансирования Программы на период 2021-2025 гг. составляет </w:t>
      </w:r>
      <w:r>
        <w:rPr>
          <w:bCs/>
          <w:sz w:val="24"/>
          <w:szCs w:val="24"/>
        </w:rPr>
        <w:t xml:space="preserve">14595,0 </w:t>
      </w:r>
      <w:r>
        <w:rPr>
          <w:sz w:val="24"/>
          <w:szCs w:val="24"/>
        </w:rPr>
        <w:t>тыс. рублей, в том числе по годам и источникам финансирования: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66"/>
        <w:gridCol w:w="3025"/>
        <w:gridCol w:w="2505"/>
        <w:gridCol w:w="2312"/>
      </w:tblGrid>
      <w:tr w:rsidR="00115C6F">
        <w:trPr>
          <w:trHeight w:val="280"/>
        </w:trPr>
        <w:tc>
          <w:tcPr>
            <w:tcW w:w="1619" w:type="dxa"/>
          </w:tcPr>
          <w:p w:rsidR="00115C6F" w:rsidRDefault="00115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261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городского округа</w:t>
            </w:r>
          </w:p>
        </w:tc>
        <w:tc>
          <w:tcPr>
            <w:tcW w:w="1872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</w:t>
            </w:r>
          </w:p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</w:t>
            </w:r>
          </w:p>
        </w:tc>
        <w:tc>
          <w:tcPr>
            <w:tcW w:w="1728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Итого, </w:t>
            </w:r>
            <w:r>
              <w:rPr>
                <w:sz w:val="24"/>
                <w:szCs w:val="24"/>
              </w:rPr>
              <w:br/>
              <w:t>тыс. руб.</w:t>
            </w:r>
          </w:p>
        </w:tc>
      </w:tr>
      <w:tr w:rsidR="00115C6F">
        <w:trPr>
          <w:trHeight w:val="297"/>
        </w:trPr>
        <w:tc>
          <w:tcPr>
            <w:tcW w:w="1619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21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1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  <w:tc>
          <w:tcPr>
            <w:tcW w:w="1872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6000,0</w:t>
            </w:r>
          </w:p>
        </w:tc>
      </w:tr>
      <w:tr w:rsidR="00115C6F">
        <w:trPr>
          <w:trHeight w:val="331"/>
        </w:trPr>
        <w:tc>
          <w:tcPr>
            <w:tcW w:w="1619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 xml:space="preserve">22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1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2595,0</w:t>
            </w:r>
          </w:p>
        </w:tc>
        <w:tc>
          <w:tcPr>
            <w:tcW w:w="1872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2595,0</w:t>
            </w:r>
          </w:p>
        </w:tc>
      </w:tr>
      <w:tr w:rsidR="00115C6F">
        <w:trPr>
          <w:trHeight w:val="206"/>
        </w:trPr>
        <w:tc>
          <w:tcPr>
            <w:tcW w:w="1619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 xml:space="preserve">23 </w:t>
            </w:r>
            <w:r>
              <w:rPr>
                <w:sz w:val="24"/>
                <w:szCs w:val="24"/>
              </w:rPr>
              <w:t>г.</w:t>
            </w:r>
          </w:p>
        </w:tc>
        <w:tc>
          <w:tcPr>
            <w:tcW w:w="2261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872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</w:tr>
      <w:tr w:rsidR="00115C6F">
        <w:trPr>
          <w:trHeight w:val="331"/>
        </w:trPr>
        <w:tc>
          <w:tcPr>
            <w:tcW w:w="1619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1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872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</w:tr>
      <w:tr w:rsidR="00115C6F">
        <w:trPr>
          <w:trHeight w:val="319"/>
        </w:trPr>
        <w:tc>
          <w:tcPr>
            <w:tcW w:w="1619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61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872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</w:tr>
      <w:tr w:rsidR="00115C6F">
        <w:trPr>
          <w:trHeight w:val="360"/>
        </w:trPr>
        <w:tc>
          <w:tcPr>
            <w:tcW w:w="1619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2261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14595,0</w:t>
            </w:r>
          </w:p>
        </w:tc>
        <w:tc>
          <w:tcPr>
            <w:tcW w:w="1872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28" w:type="dxa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14595,0</w:t>
            </w:r>
          </w:p>
        </w:tc>
      </w:tr>
    </w:tbl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rPr>
          <w:sz w:val="24"/>
          <w:szCs w:val="24"/>
        </w:rPr>
      </w:pPr>
    </w:p>
    <w:p w:rsidR="00115C6F" w:rsidRDefault="003869AA">
      <w:pPr>
        <w:pStyle w:val="ConsPlusNormal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Объемы финансирования подлежат ежегодному уточнению в соответствии с законами о федеральном и краевом бюджетах, решениями представительных органов местного самоуправления о местном бюджете на очередной финансовый год и на плановый период.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Программой планируется привлечение средства краевого бюджета.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00"/>
        </w:tabs>
        <w:ind w:firstLine="720"/>
        <w:jc w:val="both"/>
        <w:rPr>
          <w:sz w:val="24"/>
          <w:szCs w:val="24"/>
        </w:rPr>
      </w:pP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6. Анализ рисков реализации муниципальной программы </w:t>
      </w:r>
      <w:r>
        <w:rPr>
          <w:b/>
          <w:sz w:val="24"/>
          <w:szCs w:val="24"/>
        </w:rPr>
        <w:br/>
        <w:t>и описание мер управления рисками реализации муниципальной программы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 основным рискам реализации программы относятся:</w:t>
      </w:r>
    </w:p>
    <w:p w:rsidR="00115C6F" w:rsidRDefault="003869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финансовые риски;</w:t>
      </w:r>
    </w:p>
    <w:p w:rsidR="00115C6F" w:rsidRDefault="003869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нормативные правовые риски;</w:t>
      </w:r>
    </w:p>
    <w:p w:rsidR="00115C6F" w:rsidRDefault="003869A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экономические риски.</w:t>
      </w:r>
    </w:p>
    <w:p w:rsidR="00115C6F" w:rsidRDefault="003869AA">
      <w:pPr>
        <w:pStyle w:val="af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115C6F" w:rsidRDefault="003869AA">
      <w:pPr>
        <w:pStyle w:val="af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Нормативные правовые риски связаны с изменением федерального и регионального законодательства, вследствие чего может возникнуть необходимость внесения соответствующих изменений в муниципальные правовые акты и в муниципальную программу.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Экономические риски связаны с возможностью снижения темпов экономического роста, усилением инфляции, могут негативно отразиться на стоимости привлекаемых средств и сократить объем инвестиций.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Наступление указанных рисков повлияет на выполнение мероприятий программы и может привести к </w:t>
      </w:r>
      <w:proofErr w:type="gramStart"/>
      <w:r>
        <w:rPr>
          <w:sz w:val="24"/>
          <w:szCs w:val="24"/>
        </w:rPr>
        <w:t>не достижению</w:t>
      </w:r>
      <w:proofErr w:type="gramEnd"/>
      <w:r>
        <w:rPr>
          <w:sz w:val="24"/>
          <w:szCs w:val="24"/>
        </w:rPr>
        <w:t xml:space="preserve"> целевых значений показателей (индикаторов) реализации программы.</w:t>
      </w:r>
    </w:p>
    <w:p w:rsidR="00115C6F" w:rsidRDefault="003869AA">
      <w:pPr>
        <w:pStyle w:val="af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Управление рисками предполагается осуществлять на основе постоянного мониторинга хода реализации программы и оперативного внесения необходимых изменений.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</w:rPr>
      </w:pP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</w:rPr>
      </w:pP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sz w:val="24"/>
          <w:szCs w:val="24"/>
        </w:rPr>
      </w:pP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7. Механизм реализации муниципальной программы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b/>
          <w:sz w:val="24"/>
          <w:szCs w:val="24"/>
        </w:rPr>
      </w:pP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Текущее управление и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реализацией муниципальной программы осуществляют ответственный исполнитель и участники.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целях управления и контроля реализации муниципальной программы осуществляется: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текущий мониторинг реализации муниципальной программы на постоянной основе в течение всего срока реализации муниципальной программы (далее – мониторинг);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 годового отчета о ходе реализации и оценке эффективности муниципальной программы (далее – годовой отчет);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подготовка сводного отчета о ходе реализации и оценке эффективности муниципальной программы (далее – сводный годовой отчет);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сводного годового отчета на официальном сайте города Новоалтайска.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реализации муниципальной программы ориентирован на раннее предупреждение возникновения проблем и отклонений от запланированных параметров в ходе реализации муниципальной программы, а также на выполнение мероприятий муниципальной программы в течение года.</w:t>
      </w:r>
    </w:p>
    <w:p w:rsidR="00115C6F" w:rsidRDefault="003869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Мониторинг реализации муниципальной программы осуществляется ответственным исполнителем ежеквартально.</w:t>
      </w:r>
    </w:p>
    <w:p w:rsidR="00115C6F" w:rsidRDefault="003869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Объектом мониторинга является выполнение мероприятий программы в установленные сроки, сведения о финансировании муниципальной программы на отчетную дату, степень достижения плановых значений индикаторов муниципальной программы.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Участники муниципальной программы в пределах своей компетенции ежеквартально, до 10-го числа месяца, следующего за отчетным кварталом, предоставляют необходимую информацию ответственному исполнителю муниципальной программы.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Ответственный исполнитель муниципальной программы ежеквартально до 20 числа месяца, следующего за отчетным кварталом на основании информации, предоставленной участниками муниципальной программы, предоставляет результаты мониторинга муниципальной программы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Годовой отчет подготавливается ответственным исполнителем совместно с участниками до 15 февраля года, следующего за отчетным, и направляется в комитет по экономической политике и инвестициям Администрации города и комитет по финансам, налоговой и кредитной политике Администрации города.</w:t>
      </w:r>
      <w:proofErr w:type="gramEnd"/>
    </w:p>
    <w:p w:rsidR="00115C6F" w:rsidRDefault="00115C6F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val="ru-RU"/>
        </w:rPr>
      </w:pPr>
    </w:p>
    <w:p w:rsidR="00115C6F" w:rsidRDefault="00115C6F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  <w:szCs w:val="24"/>
          <w:lang w:val="ru-RU"/>
        </w:rPr>
        <w:sectPr w:rsidR="00115C6F">
          <w:pgSz w:w="11906" w:h="16838"/>
          <w:pgMar w:top="709" w:right="566" w:bottom="851" w:left="1440" w:header="709" w:footer="709" w:gutter="0"/>
          <w:cols w:space="708"/>
          <w:docGrid w:linePitch="360"/>
        </w:sectPr>
      </w:pPr>
    </w:p>
    <w:p w:rsidR="00115C6F" w:rsidRDefault="003869AA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21" w:firstLine="709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Приложение 1</w:t>
      </w:r>
    </w:p>
    <w:p w:rsidR="00115C6F" w:rsidRDefault="003869AA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9921" w:firstLine="709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муниципальной программе «Газификация </w:t>
      </w:r>
      <w:r>
        <w:rPr>
          <w:sz w:val="24"/>
          <w:szCs w:val="24"/>
          <w:lang w:val="ru-RU"/>
        </w:rPr>
        <w:tab/>
        <w:t>города Новоалтайска на 2021-2025 годы»</w:t>
      </w: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sz w:val="24"/>
          <w:szCs w:val="24"/>
        </w:rPr>
      </w:pP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right"/>
        <w:rPr>
          <w:sz w:val="24"/>
          <w:szCs w:val="24"/>
        </w:rPr>
      </w:pPr>
    </w:p>
    <w:p w:rsidR="00115C6F" w:rsidRDefault="003869A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Перечень индикаторов муниципальной программы</w:t>
      </w:r>
    </w:p>
    <w:p w:rsidR="00115C6F" w:rsidRDefault="00115C6F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contextualSpacing/>
        <w:rPr>
          <w:sz w:val="24"/>
          <w:szCs w:val="24"/>
        </w:rPr>
      </w:pPr>
    </w:p>
    <w:tbl>
      <w:tblPr>
        <w:tblW w:w="154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1134"/>
        <w:gridCol w:w="1593"/>
        <w:gridCol w:w="848"/>
        <w:gridCol w:w="850"/>
        <w:gridCol w:w="850"/>
        <w:gridCol w:w="850"/>
        <w:gridCol w:w="993"/>
        <w:gridCol w:w="3810"/>
      </w:tblGrid>
      <w:tr w:rsidR="00115C6F">
        <w:trPr>
          <w:cantSplit/>
          <w:tblHeader/>
        </w:trPr>
        <w:tc>
          <w:tcPr>
            <w:tcW w:w="4503" w:type="dxa"/>
            <w:vMerge w:val="restart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1134" w:type="dxa"/>
            <w:vMerge w:val="restart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794" w:type="dxa"/>
            <w:gridSpan w:val="7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целевого индикатора</w:t>
            </w:r>
          </w:p>
        </w:tc>
      </w:tr>
      <w:tr w:rsidR="00115C6F">
        <w:trPr>
          <w:cantSplit/>
          <w:trHeight w:val="276"/>
          <w:tblHeader/>
        </w:trPr>
        <w:tc>
          <w:tcPr>
            <w:tcW w:w="4503" w:type="dxa"/>
            <w:vMerge/>
            <w:vAlign w:val="center"/>
          </w:tcPr>
          <w:p w:rsidR="00115C6F" w:rsidRDefault="00115C6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5C6F" w:rsidRDefault="00115C6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Предыдущий период</w:t>
            </w:r>
          </w:p>
        </w:tc>
        <w:tc>
          <w:tcPr>
            <w:tcW w:w="4391" w:type="dxa"/>
            <w:gridSpan w:val="5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 реализации муниципальной</w:t>
            </w:r>
          </w:p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программы с разбивкой по годам</w:t>
            </w:r>
          </w:p>
        </w:tc>
        <w:tc>
          <w:tcPr>
            <w:tcW w:w="3810" w:type="dxa"/>
            <w:vMerge w:val="restart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 реализации программы</w:t>
            </w:r>
          </w:p>
        </w:tc>
      </w:tr>
      <w:tr w:rsidR="00115C6F">
        <w:trPr>
          <w:cantSplit/>
          <w:tblHeader/>
        </w:trPr>
        <w:tc>
          <w:tcPr>
            <w:tcW w:w="4503" w:type="dxa"/>
            <w:vMerge/>
            <w:vAlign w:val="center"/>
          </w:tcPr>
          <w:p w:rsidR="00115C6F" w:rsidRDefault="00115C6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15C6F" w:rsidRDefault="00115C6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  <w:tc>
          <w:tcPr>
            <w:tcW w:w="848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50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50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92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3810" w:type="dxa"/>
            <w:vMerge/>
            <w:vAlign w:val="center"/>
          </w:tcPr>
          <w:p w:rsidR="00115C6F" w:rsidRDefault="00115C6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15C6F">
        <w:trPr>
          <w:cantSplit/>
          <w:tblHeader/>
        </w:trPr>
        <w:tc>
          <w:tcPr>
            <w:tcW w:w="4503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93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48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810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115C6F">
        <w:trPr>
          <w:cantSplit/>
        </w:trPr>
        <w:tc>
          <w:tcPr>
            <w:tcW w:w="15431" w:type="dxa"/>
            <w:gridSpan w:val="9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Программы:</w:t>
            </w:r>
            <w:r>
              <w:rPr>
                <w:color w:val="000000"/>
                <w:sz w:val="24"/>
                <w:szCs w:val="24"/>
              </w:rPr>
              <w:t xml:space="preserve"> Обеспечение надежного устойчивого функционирования источников теплоснабжения и улучшение </w:t>
            </w:r>
            <w:proofErr w:type="gramStart"/>
            <w:r>
              <w:rPr>
                <w:bCs/>
                <w:color w:val="000000"/>
                <w:sz w:val="24"/>
                <w:szCs w:val="24"/>
              </w:rPr>
              <w:t>качества жизни населения города Новоалтайска</w:t>
            </w:r>
            <w:proofErr w:type="gramEnd"/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115C6F">
        <w:trPr>
          <w:cantSplit/>
        </w:trPr>
        <w:tc>
          <w:tcPr>
            <w:tcW w:w="15431" w:type="dxa"/>
            <w:gridSpan w:val="9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92"/>
                <w:tab w:val="left" w:pos="601"/>
              </w:tabs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1: </w:t>
            </w:r>
            <w:r>
              <w:rPr>
                <w:bCs/>
                <w:iCs/>
                <w:sz w:val="24"/>
                <w:szCs w:val="24"/>
              </w:rPr>
              <w:t>Проектно-изыскательские работы</w:t>
            </w:r>
          </w:p>
        </w:tc>
      </w:tr>
      <w:tr w:rsidR="00115C6F">
        <w:trPr>
          <w:cantSplit/>
        </w:trPr>
        <w:tc>
          <w:tcPr>
            <w:tcW w:w="4503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Уровень обеспечения подключения к газовым сетям (индивидуальные жилые строения (ИЖС))</w:t>
            </w:r>
          </w:p>
        </w:tc>
        <w:tc>
          <w:tcPr>
            <w:tcW w:w="1134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593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36,7</w:t>
            </w:r>
          </w:p>
        </w:tc>
        <w:tc>
          <w:tcPr>
            <w:tcW w:w="848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</w:tc>
        <w:tc>
          <w:tcPr>
            <w:tcW w:w="850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38,0</w:t>
            </w:r>
          </w:p>
        </w:tc>
        <w:tc>
          <w:tcPr>
            <w:tcW w:w="850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850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</w:t>
            </w:r>
          </w:p>
        </w:tc>
        <w:tc>
          <w:tcPr>
            <w:tcW w:w="992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42,1</w:t>
            </w:r>
          </w:p>
        </w:tc>
        <w:tc>
          <w:tcPr>
            <w:tcW w:w="3810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уровня обеспечения подключения к газовым сетям на 5,4 %</w:t>
            </w:r>
          </w:p>
        </w:tc>
      </w:tr>
      <w:tr w:rsidR="00115C6F">
        <w:trPr>
          <w:cantSplit/>
        </w:trPr>
        <w:tc>
          <w:tcPr>
            <w:tcW w:w="4503" w:type="dxa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2. Протяженность газовых сетей на территории муниципального образования с учетом введенных в эксплуатацию</w:t>
            </w:r>
          </w:p>
        </w:tc>
        <w:tc>
          <w:tcPr>
            <w:tcW w:w="1134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км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593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269,7</w:t>
            </w:r>
          </w:p>
        </w:tc>
        <w:tc>
          <w:tcPr>
            <w:tcW w:w="848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271,2</w:t>
            </w:r>
          </w:p>
        </w:tc>
        <w:tc>
          <w:tcPr>
            <w:tcW w:w="850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280,3</w:t>
            </w:r>
          </w:p>
        </w:tc>
        <w:tc>
          <w:tcPr>
            <w:tcW w:w="850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297,7</w:t>
            </w:r>
          </w:p>
        </w:tc>
        <w:tc>
          <w:tcPr>
            <w:tcW w:w="850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312,2</w:t>
            </w:r>
          </w:p>
        </w:tc>
        <w:tc>
          <w:tcPr>
            <w:tcW w:w="992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316,4</w:t>
            </w:r>
          </w:p>
        </w:tc>
        <w:tc>
          <w:tcPr>
            <w:tcW w:w="3810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протяженности газовых сетей на 46,7 км. </w:t>
            </w:r>
          </w:p>
        </w:tc>
      </w:tr>
      <w:tr w:rsidR="00115C6F">
        <w:trPr>
          <w:cantSplit/>
        </w:trPr>
        <w:tc>
          <w:tcPr>
            <w:tcW w:w="4503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Количество газифицированных квартир и индивидуальных жилых домов (договоры с Газпром </w:t>
            </w:r>
            <w:proofErr w:type="spellStart"/>
            <w:r>
              <w:rPr>
                <w:sz w:val="24"/>
                <w:szCs w:val="24"/>
              </w:rPr>
              <w:t>межрегионгаз</w:t>
            </w:r>
            <w:proofErr w:type="spellEnd"/>
            <w:r>
              <w:rPr>
                <w:sz w:val="24"/>
                <w:szCs w:val="24"/>
              </w:rPr>
              <w:t xml:space="preserve"> Новосибирск, филиал в Алтайском крае в Барнауле).</w:t>
            </w:r>
          </w:p>
        </w:tc>
        <w:tc>
          <w:tcPr>
            <w:tcW w:w="1134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593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10612</w:t>
            </w:r>
          </w:p>
        </w:tc>
        <w:tc>
          <w:tcPr>
            <w:tcW w:w="848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10712</w:t>
            </w:r>
          </w:p>
        </w:tc>
        <w:tc>
          <w:tcPr>
            <w:tcW w:w="850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11012</w:t>
            </w:r>
          </w:p>
        </w:tc>
        <w:tc>
          <w:tcPr>
            <w:tcW w:w="850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11612</w:t>
            </w:r>
          </w:p>
        </w:tc>
        <w:tc>
          <w:tcPr>
            <w:tcW w:w="850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12012</w:t>
            </w:r>
          </w:p>
        </w:tc>
        <w:tc>
          <w:tcPr>
            <w:tcW w:w="992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12212</w:t>
            </w:r>
          </w:p>
        </w:tc>
        <w:tc>
          <w:tcPr>
            <w:tcW w:w="3810" w:type="dxa"/>
            <w:vAlign w:val="center"/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газифицированных квартир и индивидуальных жилых </w:t>
            </w:r>
          </w:p>
          <w:p w:rsidR="00115C6F" w:rsidRDefault="003869A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домов на 1600 ед.</w:t>
            </w:r>
          </w:p>
        </w:tc>
      </w:tr>
      <w:tr w:rsidR="00115C6F">
        <w:trPr>
          <w:trHeight w:val="395"/>
        </w:trPr>
        <w:tc>
          <w:tcPr>
            <w:tcW w:w="15431" w:type="dxa"/>
            <w:gridSpan w:val="9"/>
            <w:vMerge w:val="restart"/>
            <w:vAlign w:val="center"/>
          </w:tcPr>
          <w:p w:rsidR="00115C6F" w:rsidRDefault="003869A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2: Обслуживание и страхование объектов газоснабжения</w:t>
            </w:r>
          </w:p>
        </w:tc>
      </w:tr>
      <w:tr w:rsidR="00115C6F">
        <w:trPr>
          <w:trHeight w:val="276"/>
        </w:trPr>
        <w:tc>
          <w:tcPr>
            <w:tcW w:w="4503" w:type="dxa"/>
            <w:vMerge w:val="restart"/>
            <w:vAlign w:val="center"/>
          </w:tcPr>
          <w:p w:rsidR="00115C6F" w:rsidRDefault="003869A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4. Количество обслуживаемых и застрахованных объектов газоснабжения </w:t>
            </w:r>
          </w:p>
        </w:tc>
        <w:tc>
          <w:tcPr>
            <w:tcW w:w="1134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ед.</w:t>
            </w:r>
          </w:p>
        </w:tc>
        <w:tc>
          <w:tcPr>
            <w:tcW w:w="1593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</w:t>
            </w:r>
          </w:p>
        </w:tc>
        <w:tc>
          <w:tcPr>
            <w:tcW w:w="848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highlight w:val="white"/>
              </w:rPr>
              <w:t>2</w:t>
            </w:r>
          </w:p>
        </w:tc>
        <w:tc>
          <w:tcPr>
            <w:tcW w:w="850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</w:t>
            </w:r>
          </w:p>
        </w:tc>
        <w:tc>
          <w:tcPr>
            <w:tcW w:w="850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0</w:t>
            </w:r>
          </w:p>
        </w:tc>
        <w:tc>
          <w:tcPr>
            <w:tcW w:w="3810" w:type="dxa"/>
            <w:vMerge w:val="restart"/>
            <w:vAlign w:val="center"/>
          </w:tcPr>
          <w:p w:rsidR="00115C6F" w:rsidRDefault="003869A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contextualSpacing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Обслуживание и страхование 2 объектов газоснабжения</w:t>
            </w:r>
          </w:p>
        </w:tc>
      </w:tr>
    </w:tbl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1063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2 </w:t>
      </w:r>
    </w:p>
    <w:p w:rsidR="00115C6F" w:rsidRDefault="003869AA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10630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муниципальной программе </w:t>
      </w:r>
      <w:r w:rsidRPr="004B15CB">
        <w:rPr>
          <w:sz w:val="24"/>
          <w:szCs w:val="24"/>
          <w:lang w:val="ru-RU"/>
        </w:rPr>
        <w:t>«Газификация города Новоалтайска на 2021-2025 годы»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Мероприятия муниципальной программы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«Газификация города Новоалтайска на 2021-2025 годы»</w:t>
      </w:r>
      <w:bookmarkStart w:id="1" w:name="RANGE!A1:T102"/>
      <w:bookmarkEnd w:id="1"/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0"/>
        <w:gridCol w:w="4579"/>
        <w:gridCol w:w="992"/>
        <w:gridCol w:w="1857"/>
        <w:gridCol w:w="1021"/>
        <w:gridCol w:w="1021"/>
        <w:gridCol w:w="1021"/>
        <w:gridCol w:w="1031"/>
        <w:gridCol w:w="1011"/>
        <w:gridCol w:w="1021"/>
        <w:gridCol w:w="1824"/>
      </w:tblGrid>
      <w:tr w:rsidR="00115C6F">
        <w:trPr>
          <w:cantSplit/>
          <w:trHeight w:val="227"/>
          <w:tblHeader/>
          <w:jc w:val="center"/>
        </w:trPr>
        <w:tc>
          <w:tcPr>
            <w:tcW w:w="440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4579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Цель, задача, мероприятие</w:t>
            </w:r>
          </w:p>
        </w:tc>
        <w:tc>
          <w:tcPr>
            <w:tcW w:w="992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</w:t>
            </w: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1857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участники</w:t>
            </w:r>
          </w:p>
        </w:tc>
        <w:tc>
          <w:tcPr>
            <w:tcW w:w="6126" w:type="dxa"/>
            <w:gridSpan w:val="6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рублей</w:t>
            </w:r>
          </w:p>
        </w:tc>
        <w:tc>
          <w:tcPr>
            <w:tcW w:w="1824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</w:tr>
      <w:tr w:rsidR="00115C6F">
        <w:trPr>
          <w:cantSplit/>
          <w:trHeight w:val="227"/>
          <w:tblHeader/>
          <w:jc w:val="center"/>
        </w:trPr>
        <w:tc>
          <w:tcPr>
            <w:tcW w:w="440" w:type="dxa"/>
            <w:vMerge/>
            <w:vAlign w:val="center"/>
          </w:tcPr>
          <w:p w:rsidR="00115C6F" w:rsidRDefault="00115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4579" w:type="dxa"/>
            <w:vMerge/>
            <w:vAlign w:val="center"/>
          </w:tcPr>
          <w:p w:rsidR="00115C6F" w:rsidRDefault="00115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115C6F" w:rsidRDefault="00115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  <w:vAlign w:val="center"/>
          </w:tcPr>
          <w:p w:rsidR="00115C6F" w:rsidRDefault="00115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03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2024г.</w:t>
            </w:r>
          </w:p>
        </w:tc>
        <w:tc>
          <w:tcPr>
            <w:tcW w:w="101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24" w:type="dxa"/>
            <w:vMerge/>
            <w:vAlign w:val="center"/>
          </w:tcPr>
          <w:p w:rsidR="00115C6F" w:rsidRDefault="00115C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</w:p>
        </w:tc>
      </w:tr>
      <w:tr w:rsidR="00115C6F">
        <w:trPr>
          <w:trHeight w:val="227"/>
          <w:jc w:val="center"/>
        </w:trPr>
        <w:tc>
          <w:tcPr>
            <w:tcW w:w="440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79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57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03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01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24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15C6F">
        <w:trPr>
          <w:cantSplit/>
          <w:trHeight w:val="1059"/>
          <w:jc w:val="center"/>
        </w:trPr>
        <w:tc>
          <w:tcPr>
            <w:tcW w:w="440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579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Цель:</w:t>
            </w:r>
            <w:r>
              <w:rPr>
                <w:sz w:val="24"/>
                <w:szCs w:val="24"/>
              </w:rPr>
              <w:t xml:space="preserve"> Обеспечение надежного устойчивого функционирования источников теплоснабжения   и улучшение </w:t>
            </w:r>
            <w:r>
              <w:rPr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bCs/>
                <w:sz w:val="24"/>
                <w:szCs w:val="24"/>
              </w:rPr>
              <w:t>качества жизни населения города Новоалтайска</w:t>
            </w:r>
            <w:proofErr w:type="gramEnd"/>
            <w:r>
              <w:rPr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2021-2025 гг.</w:t>
            </w:r>
          </w:p>
        </w:tc>
        <w:tc>
          <w:tcPr>
            <w:tcW w:w="1857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ЖКГХЭТС, 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2595,0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03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01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3000,0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14595,0</w:t>
            </w:r>
          </w:p>
        </w:tc>
        <w:tc>
          <w:tcPr>
            <w:tcW w:w="1824" w:type="dxa"/>
            <w:vAlign w:val="center"/>
          </w:tcPr>
          <w:p w:rsidR="00115C6F" w:rsidRDefault="003869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15C6F">
        <w:trPr>
          <w:cantSplit/>
          <w:trHeight w:val="310"/>
          <w:jc w:val="center"/>
        </w:trPr>
        <w:tc>
          <w:tcPr>
            <w:tcW w:w="440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579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Задача 1: Проектно-изыскательские работы</w:t>
            </w:r>
          </w:p>
        </w:tc>
        <w:tc>
          <w:tcPr>
            <w:tcW w:w="992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2021-2025 гг.</w:t>
            </w:r>
          </w:p>
        </w:tc>
        <w:tc>
          <w:tcPr>
            <w:tcW w:w="1857" w:type="dxa"/>
            <w:vMerge w:val="restart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6000,0</w:t>
            </w:r>
          </w:p>
        </w:tc>
        <w:tc>
          <w:tcPr>
            <w:tcW w:w="1021" w:type="dxa"/>
            <w:vAlign w:val="center"/>
          </w:tcPr>
          <w:p w:rsidR="00115C6F" w:rsidRDefault="004B1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23</w:t>
            </w:r>
            <w:r w:rsidR="003869AA">
              <w:rPr>
                <w:bCs/>
                <w:color w:val="000000" w:themeColor="text1"/>
                <w:sz w:val="24"/>
                <w:szCs w:val="24"/>
              </w:rPr>
              <w:t>95,0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03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01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3000,0</w:t>
            </w:r>
          </w:p>
        </w:tc>
        <w:tc>
          <w:tcPr>
            <w:tcW w:w="1021" w:type="dxa"/>
            <w:vAlign w:val="center"/>
          </w:tcPr>
          <w:p w:rsidR="00115C6F" w:rsidRDefault="004B15C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143</w:t>
            </w:r>
            <w:r w:rsidR="003869AA">
              <w:rPr>
                <w:bCs/>
                <w:color w:val="000000" w:themeColor="text1"/>
                <w:sz w:val="24"/>
                <w:szCs w:val="24"/>
              </w:rPr>
              <w:t>95,0</w:t>
            </w:r>
          </w:p>
        </w:tc>
        <w:tc>
          <w:tcPr>
            <w:tcW w:w="1824" w:type="dxa"/>
            <w:vAlign w:val="center"/>
          </w:tcPr>
          <w:p w:rsidR="00115C6F" w:rsidRDefault="003869A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15C6F">
        <w:trPr>
          <w:trHeight w:val="1380"/>
          <w:jc w:val="center"/>
        </w:trPr>
        <w:tc>
          <w:tcPr>
            <w:tcW w:w="440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579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1.1: </w:t>
            </w:r>
          </w:p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Распределительный</w:t>
            </w:r>
            <w:proofErr w:type="gramEnd"/>
            <w:r>
              <w:rPr>
                <w:sz w:val="24"/>
                <w:szCs w:val="24"/>
              </w:rPr>
              <w:t xml:space="preserve">  газопровода высокого давления  до ГРП-25/4, ГРП-25/5  и низкого давления от ГРП-25/4, ГРП-25/5 в г. Новоалтайске Алтайского края </w:t>
            </w:r>
          </w:p>
        </w:tc>
        <w:tc>
          <w:tcPr>
            <w:tcW w:w="992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г.</w:t>
            </w:r>
          </w:p>
        </w:tc>
        <w:tc>
          <w:tcPr>
            <w:tcW w:w="1857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3200,0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3200,0</w:t>
            </w:r>
          </w:p>
        </w:tc>
        <w:tc>
          <w:tcPr>
            <w:tcW w:w="1824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15C6F">
        <w:trPr>
          <w:trHeight w:val="1491"/>
          <w:jc w:val="center"/>
        </w:trPr>
        <w:tc>
          <w:tcPr>
            <w:tcW w:w="440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579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1.2:</w:t>
            </w:r>
          </w:p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Распределительный газопровод до жилых домов по ул. Белоярская, </w:t>
            </w:r>
            <w:proofErr w:type="spellStart"/>
            <w:r>
              <w:rPr>
                <w:sz w:val="24"/>
                <w:szCs w:val="24"/>
              </w:rPr>
              <w:t>ул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осняк</w:t>
            </w:r>
            <w:proofErr w:type="spellEnd"/>
            <w:r>
              <w:rPr>
                <w:sz w:val="24"/>
                <w:szCs w:val="24"/>
              </w:rPr>
              <w:t xml:space="preserve">, пер. Барнаульский в </w:t>
            </w:r>
            <w:proofErr w:type="spellStart"/>
            <w:r>
              <w:rPr>
                <w:sz w:val="24"/>
                <w:szCs w:val="24"/>
              </w:rPr>
              <w:t>г.Новоалтайске</w:t>
            </w:r>
            <w:proofErr w:type="spellEnd"/>
            <w:r>
              <w:rPr>
                <w:sz w:val="24"/>
                <w:szCs w:val="24"/>
              </w:rPr>
              <w:t xml:space="preserve"> Алтайского края </w:t>
            </w:r>
          </w:p>
        </w:tc>
        <w:tc>
          <w:tcPr>
            <w:tcW w:w="992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2021 - 2022 гг.</w:t>
            </w:r>
          </w:p>
        </w:tc>
        <w:tc>
          <w:tcPr>
            <w:tcW w:w="1857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2800,0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2395,0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5195,0</w:t>
            </w:r>
          </w:p>
        </w:tc>
        <w:tc>
          <w:tcPr>
            <w:tcW w:w="1824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Бюджет городского округа </w:t>
            </w:r>
          </w:p>
        </w:tc>
      </w:tr>
      <w:tr w:rsidR="00115C6F">
        <w:trPr>
          <w:trHeight w:val="227"/>
          <w:jc w:val="center"/>
        </w:trPr>
        <w:tc>
          <w:tcPr>
            <w:tcW w:w="440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579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1.3: </w:t>
            </w:r>
          </w:p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Распределительный газопровод  низкого давления  от ГРП-2 в г. Новоалтайске Алтайского края (</w:t>
            </w:r>
            <w:proofErr w:type="spellStart"/>
            <w:r>
              <w:rPr>
                <w:sz w:val="24"/>
                <w:szCs w:val="24"/>
              </w:rPr>
              <w:t>Белоярск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857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1500,0</w:t>
            </w:r>
          </w:p>
        </w:tc>
        <w:tc>
          <w:tcPr>
            <w:tcW w:w="1824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3869AA" w:rsidRDefault="003869AA"/>
    <w:p w:rsidR="003869AA" w:rsidRDefault="003869AA"/>
    <w:p w:rsidR="003869AA" w:rsidRDefault="003869AA"/>
    <w:p w:rsidR="003869AA" w:rsidRDefault="003869AA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40"/>
        <w:gridCol w:w="4579"/>
        <w:gridCol w:w="992"/>
        <w:gridCol w:w="1857"/>
        <w:gridCol w:w="1021"/>
        <w:gridCol w:w="1021"/>
        <w:gridCol w:w="1021"/>
        <w:gridCol w:w="1031"/>
        <w:gridCol w:w="1011"/>
        <w:gridCol w:w="1021"/>
        <w:gridCol w:w="1824"/>
      </w:tblGrid>
      <w:tr w:rsidR="00115C6F">
        <w:trPr>
          <w:trHeight w:val="227"/>
          <w:jc w:val="center"/>
        </w:trPr>
        <w:tc>
          <w:tcPr>
            <w:tcW w:w="440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579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1.4: Распределительный газопровод низкого давления от ГРП-47;</w:t>
            </w:r>
          </w:p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ГРП-48 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овоалтайске</w:t>
            </w:r>
            <w:proofErr w:type="spellEnd"/>
            <w:r>
              <w:rPr>
                <w:sz w:val="24"/>
                <w:szCs w:val="24"/>
              </w:rPr>
              <w:t xml:space="preserve"> Алтайского края (</w:t>
            </w:r>
            <w:proofErr w:type="spellStart"/>
            <w:r>
              <w:rPr>
                <w:sz w:val="24"/>
                <w:szCs w:val="24"/>
              </w:rPr>
              <w:t>Велижановка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2023 г.</w:t>
            </w:r>
          </w:p>
        </w:tc>
        <w:tc>
          <w:tcPr>
            <w:tcW w:w="1857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103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1000,0</w:t>
            </w:r>
          </w:p>
        </w:tc>
        <w:tc>
          <w:tcPr>
            <w:tcW w:w="1824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15C6F">
        <w:trPr>
          <w:trHeight w:val="227"/>
          <w:jc w:val="center"/>
        </w:trPr>
        <w:tc>
          <w:tcPr>
            <w:tcW w:w="440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579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Мероприятие 1.5: </w:t>
            </w:r>
          </w:p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Распределительный газопровод низкого давления от ГРП-7;ГРП-8 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овоалтайске</w:t>
            </w:r>
            <w:proofErr w:type="spellEnd"/>
            <w:r>
              <w:rPr>
                <w:sz w:val="24"/>
                <w:szCs w:val="24"/>
              </w:rPr>
              <w:t xml:space="preserve"> Алтайского края</w:t>
            </w:r>
          </w:p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(1-ая ,6-ая Береговые)</w:t>
            </w:r>
          </w:p>
        </w:tc>
        <w:tc>
          <w:tcPr>
            <w:tcW w:w="992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 г.</w:t>
            </w:r>
          </w:p>
        </w:tc>
        <w:tc>
          <w:tcPr>
            <w:tcW w:w="1857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01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1824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115C6F">
        <w:trPr>
          <w:trHeight w:val="227"/>
          <w:jc w:val="center"/>
        </w:trPr>
        <w:tc>
          <w:tcPr>
            <w:tcW w:w="440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579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1.6:</w:t>
            </w:r>
          </w:p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Газопровод высокого давления  до  ГРП-1 и низкого давления от ГРП-1 в </w:t>
            </w:r>
            <w:proofErr w:type="spellStart"/>
            <w:r>
              <w:rPr>
                <w:sz w:val="24"/>
                <w:szCs w:val="24"/>
              </w:rPr>
              <w:t>г</w:t>
            </w:r>
            <w:proofErr w:type="gramStart"/>
            <w:r>
              <w:rPr>
                <w:sz w:val="24"/>
                <w:szCs w:val="24"/>
              </w:rPr>
              <w:t>.Н</w:t>
            </w:r>
            <w:proofErr w:type="gramEnd"/>
            <w:r>
              <w:rPr>
                <w:sz w:val="24"/>
                <w:szCs w:val="24"/>
              </w:rPr>
              <w:t>овоалтайске</w:t>
            </w:r>
            <w:proofErr w:type="spellEnd"/>
            <w:r>
              <w:rPr>
                <w:sz w:val="24"/>
                <w:szCs w:val="24"/>
              </w:rPr>
              <w:t xml:space="preserve"> Алтайского края</w:t>
            </w:r>
          </w:p>
        </w:tc>
        <w:tc>
          <w:tcPr>
            <w:tcW w:w="992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г.</w:t>
            </w:r>
          </w:p>
        </w:tc>
        <w:tc>
          <w:tcPr>
            <w:tcW w:w="1857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021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1500,0</w:t>
            </w:r>
          </w:p>
        </w:tc>
        <w:tc>
          <w:tcPr>
            <w:tcW w:w="1824" w:type="dxa"/>
            <w:vAlign w:val="center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4B15CB" w:rsidTr="004B15CB">
        <w:trPr>
          <w:trHeight w:val="1052"/>
          <w:jc w:val="center"/>
        </w:trPr>
        <w:tc>
          <w:tcPr>
            <w:tcW w:w="440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579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  <w:szCs w:val="24"/>
              </w:rPr>
              <w:t>Задача 2: Обслуживание и страхование объектов газоснабжения</w:t>
            </w:r>
          </w:p>
        </w:tc>
        <w:tc>
          <w:tcPr>
            <w:tcW w:w="992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857" w:type="dxa"/>
            <w:vMerge w:val="restart"/>
            <w:vAlign w:val="center"/>
          </w:tcPr>
          <w:p w:rsidR="004B15CB" w:rsidRDefault="004B15CB" w:rsidP="004B15CB">
            <w:pPr>
              <w:jc w:val="center"/>
            </w:pPr>
            <w:r w:rsidRPr="00EE27F3">
              <w:rPr>
                <w:sz w:val="24"/>
                <w:szCs w:val="24"/>
              </w:rPr>
              <w:t>Комитет ЖКГХЭТС</w:t>
            </w:r>
          </w:p>
        </w:tc>
        <w:tc>
          <w:tcPr>
            <w:tcW w:w="1021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21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824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  <w:tr w:rsidR="004B15CB" w:rsidTr="004B15CB">
        <w:trPr>
          <w:trHeight w:val="1052"/>
          <w:jc w:val="center"/>
        </w:trPr>
        <w:tc>
          <w:tcPr>
            <w:tcW w:w="440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579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2.1:</w:t>
            </w:r>
          </w:p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  <w:r>
              <w:rPr>
                <w:sz w:val="24"/>
              </w:rPr>
              <w:t>Распределительный газопровод от ГРП-56,  ГРП-58 в г. Новоалтайске Алтайского края (</w:t>
            </w:r>
            <w:r>
              <w:rPr>
                <w:sz w:val="24"/>
                <w:szCs w:val="24"/>
              </w:rPr>
              <w:t>обслуживание и страхование объекта)</w:t>
            </w:r>
          </w:p>
        </w:tc>
        <w:tc>
          <w:tcPr>
            <w:tcW w:w="992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2022 г.</w:t>
            </w:r>
          </w:p>
        </w:tc>
        <w:tc>
          <w:tcPr>
            <w:tcW w:w="1857" w:type="dxa"/>
            <w:vMerge w:val="restart"/>
            <w:vAlign w:val="center"/>
          </w:tcPr>
          <w:p w:rsidR="004B15CB" w:rsidRDefault="004B15CB" w:rsidP="004B15CB">
            <w:pPr>
              <w:jc w:val="center"/>
            </w:pPr>
            <w:r w:rsidRPr="00EE27F3">
              <w:rPr>
                <w:sz w:val="24"/>
                <w:szCs w:val="24"/>
              </w:rPr>
              <w:t>Комитет ЖКГХЭТС</w:t>
            </w:r>
          </w:p>
        </w:tc>
        <w:tc>
          <w:tcPr>
            <w:tcW w:w="1021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1021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31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11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1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bCs/>
                <w:sz w:val="24"/>
                <w:szCs w:val="24"/>
              </w:rPr>
              <w:t>200,0</w:t>
            </w:r>
          </w:p>
        </w:tc>
        <w:tc>
          <w:tcPr>
            <w:tcW w:w="1824" w:type="dxa"/>
            <w:vMerge w:val="restart"/>
            <w:vAlign w:val="center"/>
          </w:tcPr>
          <w:p w:rsidR="004B15CB" w:rsidRDefault="004B15C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>
              <w:rPr>
                <w:sz w:val="24"/>
                <w:szCs w:val="24"/>
              </w:rPr>
              <w:t>Бюджет городского округа</w:t>
            </w:r>
          </w:p>
        </w:tc>
      </w:tr>
    </w:tbl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  <w:sectPr w:rsidR="00115C6F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115C6F" w:rsidRDefault="00115C6F">
      <w:pPr>
        <w:pStyle w:val="af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right"/>
        <w:rPr>
          <w:sz w:val="24"/>
          <w:szCs w:val="24"/>
          <w:lang w:val="ru-RU"/>
        </w:rPr>
      </w:pPr>
    </w:p>
    <w:p w:rsidR="00115C6F" w:rsidRDefault="003869AA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52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Приложение 3</w:t>
      </w:r>
    </w:p>
    <w:p w:rsidR="00115C6F" w:rsidRDefault="003869AA">
      <w:pPr>
        <w:pStyle w:val="af5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ind w:left="4252"/>
        <w:contextualSpacing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 муниципальной программе </w:t>
      </w:r>
      <w:r w:rsidRPr="004B15CB">
        <w:rPr>
          <w:sz w:val="24"/>
          <w:szCs w:val="24"/>
          <w:lang w:val="ru-RU"/>
        </w:rPr>
        <w:t>«Газификация города Новоалтайска на 2021-2025 годы»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right"/>
        <w:rPr>
          <w:sz w:val="24"/>
          <w:szCs w:val="24"/>
        </w:rPr>
      </w:pP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Объем финансовых ресурсов, необходимых</w:t>
      </w:r>
    </w:p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sz w:val="24"/>
          <w:szCs w:val="24"/>
        </w:rPr>
      </w:pPr>
      <w:r>
        <w:rPr>
          <w:sz w:val="24"/>
          <w:szCs w:val="24"/>
        </w:rPr>
        <w:t>для реализации муниципальной программы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outlineLvl w:val="2"/>
        <w:rPr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A0" w:firstRow="1" w:lastRow="0" w:firstColumn="1" w:lastColumn="0" w:noHBand="0" w:noVBand="0"/>
      </w:tblPr>
      <w:tblGrid>
        <w:gridCol w:w="3815"/>
        <w:gridCol w:w="964"/>
        <w:gridCol w:w="964"/>
        <w:gridCol w:w="964"/>
        <w:gridCol w:w="964"/>
        <w:gridCol w:w="964"/>
        <w:gridCol w:w="964"/>
      </w:tblGrid>
      <w:tr w:rsidR="00115C6F">
        <w:trPr>
          <w:cantSplit/>
          <w:trHeight w:val="233"/>
        </w:trPr>
        <w:tc>
          <w:tcPr>
            <w:tcW w:w="3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и направления расходов</w:t>
            </w:r>
          </w:p>
        </w:tc>
        <w:tc>
          <w:tcPr>
            <w:tcW w:w="57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расходов, тыс. рублей</w:t>
            </w:r>
          </w:p>
        </w:tc>
      </w:tr>
      <w:tr w:rsidR="00115C6F">
        <w:trPr>
          <w:cantSplit/>
          <w:trHeight w:val="94"/>
        </w:trPr>
        <w:tc>
          <w:tcPr>
            <w:tcW w:w="3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115C6F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</w:tr>
      <w:tr w:rsidR="00115C6F">
        <w:trPr>
          <w:trHeight w:val="181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финансовых затрат,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2595,0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14595,0</w:t>
            </w:r>
          </w:p>
        </w:tc>
      </w:tr>
      <w:tr w:rsidR="00115C6F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2595,0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14595,0</w:t>
            </w:r>
          </w:p>
        </w:tc>
      </w:tr>
      <w:tr w:rsidR="00115C6F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5C6F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5C6F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Капитальные вложения,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2395,0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14395,0</w:t>
            </w:r>
          </w:p>
        </w:tc>
      </w:tr>
      <w:tr w:rsidR="00115C6F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82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2395,0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15C6F" w:rsidRDefault="003869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14395,0</w:t>
            </w:r>
          </w:p>
        </w:tc>
      </w:tr>
      <w:tr w:rsidR="00115C6F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5C6F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5C6F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115C6F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бюджета городского округа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200,0</w:t>
            </w:r>
          </w:p>
        </w:tc>
      </w:tr>
      <w:tr w:rsidR="00115C6F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5C6F">
        <w:trPr>
          <w:trHeight w:val="169"/>
        </w:trPr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828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6F" w:rsidRDefault="003869A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115C6F" w:rsidRDefault="003869A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».</w:t>
      </w:r>
    </w:p>
    <w:p w:rsidR="00115C6F" w:rsidRDefault="00115C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</w:rPr>
      </w:pPr>
    </w:p>
    <w:sectPr w:rsidR="00115C6F">
      <w:pgSz w:w="11906" w:h="16838"/>
      <w:pgMar w:top="709" w:right="851" w:bottom="851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C6F" w:rsidRDefault="003869AA">
      <w:r>
        <w:separator/>
      </w:r>
    </w:p>
  </w:endnote>
  <w:endnote w:type="continuationSeparator" w:id="0">
    <w:p w:rsidR="00115C6F" w:rsidRDefault="0038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separator/>
      </w:r>
    </w:p>
  </w:footnote>
  <w:footnote w:type="continuationSeparator" w:id="0">
    <w:p w:rsidR="00115C6F" w:rsidRDefault="003869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075"/>
    <w:multiLevelType w:val="hybridMultilevel"/>
    <w:tmpl w:val="CA0A5996"/>
    <w:lvl w:ilvl="0" w:tplc="2814F5C2">
      <w:start w:val="1"/>
      <w:numFmt w:val="decimal"/>
      <w:lvlText w:val="%1."/>
      <w:lvlJc w:val="left"/>
    </w:lvl>
    <w:lvl w:ilvl="1" w:tplc="DD522D02">
      <w:start w:val="1"/>
      <w:numFmt w:val="lowerLetter"/>
      <w:lvlText w:val="%2."/>
      <w:lvlJc w:val="left"/>
      <w:pPr>
        <w:ind w:left="1440" w:hanging="360"/>
      </w:pPr>
    </w:lvl>
    <w:lvl w:ilvl="2" w:tplc="23CEE7DA">
      <w:start w:val="1"/>
      <w:numFmt w:val="lowerRoman"/>
      <w:lvlText w:val="%3."/>
      <w:lvlJc w:val="right"/>
      <w:pPr>
        <w:ind w:left="2160" w:hanging="180"/>
      </w:pPr>
    </w:lvl>
    <w:lvl w:ilvl="3" w:tplc="5D4A3BF4">
      <w:start w:val="1"/>
      <w:numFmt w:val="decimal"/>
      <w:lvlText w:val="%4."/>
      <w:lvlJc w:val="left"/>
      <w:pPr>
        <w:ind w:left="2880" w:hanging="360"/>
      </w:pPr>
    </w:lvl>
    <w:lvl w:ilvl="4" w:tplc="49D6F8D6">
      <w:start w:val="1"/>
      <w:numFmt w:val="lowerLetter"/>
      <w:lvlText w:val="%5."/>
      <w:lvlJc w:val="left"/>
      <w:pPr>
        <w:ind w:left="3600" w:hanging="360"/>
      </w:pPr>
    </w:lvl>
    <w:lvl w:ilvl="5" w:tplc="E530E7D2">
      <w:start w:val="1"/>
      <w:numFmt w:val="lowerRoman"/>
      <w:lvlText w:val="%6."/>
      <w:lvlJc w:val="right"/>
      <w:pPr>
        <w:ind w:left="4320" w:hanging="180"/>
      </w:pPr>
    </w:lvl>
    <w:lvl w:ilvl="6" w:tplc="19449594">
      <w:start w:val="1"/>
      <w:numFmt w:val="decimal"/>
      <w:lvlText w:val="%7."/>
      <w:lvlJc w:val="left"/>
      <w:pPr>
        <w:ind w:left="5040" w:hanging="360"/>
      </w:pPr>
    </w:lvl>
    <w:lvl w:ilvl="7" w:tplc="F37C63EA">
      <w:start w:val="1"/>
      <w:numFmt w:val="lowerLetter"/>
      <w:lvlText w:val="%8."/>
      <w:lvlJc w:val="left"/>
      <w:pPr>
        <w:ind w:left="5760" w:hanging="360"/>
      </w:pPr>
    </w:lvl>
    <w:lvl w:ilvl="8" w:tplc="8D2EB8E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6130E"/>
    <w:multiLevelType w:val="hybridMultilevel"/>
    <w:tmpl w:val="5FD61104"/>
    <w:lvl w:ilvl="0" w:tplc="0EE831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F0AA1C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8A88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24C17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9140A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93400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016F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12E3D5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FE0CD3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6B75C3"/>
    <w:multiLevelType w:val="hybridMultilevel"/>
    <w:tmpl w:val="FD4865BC"/>
    <w:lvl w:ilvl="0" w:tplc="4CEA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C4C8A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34A37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4EC35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AE2F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4B0A5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BDA1E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D248C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794495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B0318A7"/>
    <w:multiLevelType w:val="hybridMultilevel"/>
    <w:tmpl w:val="F7CCDAAA"/>
    <w:lvl w:ilvl="0" w:tplc="334A1FEA">
      <w:start w:val="1"/>
      <w:numFmt w:val="bullet"/>
      <w:lvlText w:val=""/>
      <w:lvlJc w:val="left"/>
      <w:pPr>
        <w:tabs>
          <w:tab w:val="num" w:pos="1320"/>
        </w:tabs>
        <w:ind w:left="1320" w:hanging="360"/>
      </w:pPr>
      <w:rPr>
        <w:rFonts w:ascii="Symbol" w:hAnsi="Symbol"/>
      </w:rPr>
    </w:lvl>
    <w:lvl w:ilvl="1" w:tplc="A5680D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E70D1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25A34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762301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A606B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B68018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CC9CA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C62CC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67154C11"/>
    <w:multiLevelType w:val="hybridMultilevel"/>
    <w:tmpl w:val="D11EFE84"/>
    <w:lvl w:ilvl="0" w:tplc="A94433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7DE9B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2EECA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6EAC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35C35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BE671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EEC2F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2D2DC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8DA36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E67947"/>
    <w:multiLevelType w:val="hybridMultilevel"/>
    <w:tmpl w:val="B3AA147C"/>
    <w:lvl w:ilvl="0" w:tplc="3B6E5D94">
      <w:start w:val="1"/>
      <w:numFmt w:val="decimal"/>
      <w:lvlText w:val="%1."/>
      <w:lvlJc w:val="left"/>
      <w:pPr>
        <w:ind w:left="690" w:hanging="360"/>
      </w:pPr>
    </w:lvl>
    <w:lvl w:ilvl="1" w:tplc="4E3E0100">
      <w:start w:val="1"/>
      <w:numFmt w:val="lowerLetter"/>
      <w:lvlText w:val="%2."/>
      <w:lvlJc w:val="left"/>
      <w:pPr>
        <w:ind w:left="1410" w:hanging="360"/>
      </w:pPr>
    </w:lvl>
    <w:lvl w:ilvl="2" w:tplc="9970C750">
      <w:start w:val="1"/>
      <w:numFmt w:val="lowerRoman"/>
      <w:lvlText w:val="%3."/>
      <w:lvlJc w:val="right"/>
      <w:pPr>
        <w:ind w:left="2130" w:hanging="180"/>
      </w:pPr>
    </w:lvl>
    <w:lvl w:ilvl="3" w:tplc="E1A04BAA">
      <w:start w:val="1"/>
      <w:numFmt w:val="decimal"/>
      <w:lvlText w:val="%4."/>
      <w:lvlJc w:val="left"/>
      <w:pPr>
        <w:ind w:left="2850" w:hanging="360"/>
      </w:pPr>
    </w:lvl>
    <w:lvl w:ilvl="4" w:tplc="42A2B22A">
      <w:start w:val="1"/>
      <w:numFmt w:val="lowerLetter"/>
      <w:lvlText w:val="%5."/>
      <w:lvlJc w:val="left"/>
      <w:pPr>
        <w:ind w:left="3570" w:hanging="360"/>
      </w:pPr>
    </w:lvl>
    <w:lvl w:ilvl="5" w:tplc="994A50F2">
      <w:start w:val="1"/>
      <w:numFmt w:val="lowerRoman"/>
      <w:lvlText w:val="%6."/>
      <w:lvlJc w:val="right"/>
      <w:pPr>
        <w:ind w:left="4290" w:hanging="180"/>
      </w:pPr>
    </w:lvl>
    <w:lvl w:ilvl="6" w:tplc="A7ACF500">
      <w:start w:val="1"/>
      <w:numFmt w:val="decimal"/>
      <w:lvlText w:val="%7."/>
      <w:lvlJc w:val="left"/>
      <w:pPr>
        <w:ind w:left="5010" w:hanging="360"/>
      </w:pPr>
    </w:lvl>
    <w:lvl w:ilvl="7" w:tplc="A9A49062">
      <w:start w:val="1"/>
      <w:numFmt w:val="lowerLetter"/>
      <w:lvlText w:val="%8."/>
      <w:lvlJc w:val="left"/>
      <w:pPr>
        <w:ind w:left="5730" w:hanging="360"/>
      </w:pPr>
    </w:lvl>
    <w:lvl w:ilvl="8" w:tplc="76C0080C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6F"/>
    <w:rsid w:val="000513F9"/>
    <w:rsid w:val="00115C6F"/>
    <w:rsid w:val="003869AA"/>
    <w:rsid w:val="00490F2C"/>
    <w:rsid w:val="004B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0"/>
      <w:szCs w:val="20"/>
    </w:rPr>
  </w:style>
  <w:style w:type="paragraph" w:styleId="2">
    <w:name w:val="heading 2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sz w:val="28"/>
      <w:szCs w:val="20"/>
    </w:rPr>
  </w:style>
  <w:style w:type="paragraph" w:styleId="7">
    <w:name w:val="heading 7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jc w:val="center"/>
      <w:outlineLvl w:val="6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</w:style>
  <w:style w:type="character" w:customStyle="1" w:styleId="a4">
    <w:name w:val="Текст концевой с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paragraph" w:customStyle="1" w:styleId="21">
    <w:name w:val="Заголовок 21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customStyle="1" w:styleId="71">
    <w:name w:val="Заголовок 71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customStyle="1" w:styleId="81">
    <w:name w:val="Заголовок 81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customStyle="1" w:styleId="91">
    <w:name w:val="Заголовок 91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paragraph" w:customStyle="1" w:styleId="1">
    <w:name w:val="Верх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0">
    <w:name w:val="Нижний колонтитул1"/>
    <w:basedOn w:val="a"/>
    <w:uiPriority w:val="99"/>
    <w:unhideWhenUsed/>
    <w:pPr>
      <w:tabs>
        <w:tab w:val="center" w:pos="7143"/>
        <w:tab w:val="right" w:pos="14287"/>
      </w:tabs>
    </w:pPr>
  </w:style>
  <w:style w:type="paragraph" w:customStyle="1" w:styleId="11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110">
    <w:name w:val="Заголовок 11"/>
    <w:basedOn w:val="a"/>
    <w:next w:val="a"/>
    <w:link w:val="Heading1Char1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customStyle="1" w:styleId="TitleChar">
    <w:name w:val="Title Char"/>
    <w:basedOn w:val="a0"/>
    <w:uiPriority w:val="99"/>
    <w:rPr>
      <w:rFonts w:cs="Times New Roman"/>
      <w:sz w:val="48"/>
      <w:szCs w:val="48"/>
    </w:rPr>
  </w:style>
  <w:style w:type="character" w:customStyle="1" w:styleId="SubtitleChar">
    <w:name w:val="Subtitle Char"/>
    <w:basedOn w:val="a0"/>
    <w:uiPriority w:val="99"/>
    <w:rPr>
      <w:rFonts w:cs="Times New Roman"/>
      <w:sz w:val="24"/>
      <w:szCs w:val="24"/>
    </w:rPr>
  </w:style>
  <w:style w:type="character" w:customStyle="1" w:styleId="QuoteChar">
    <w:name w:val="Quote Char"/>
    <w:uiPriority w:val="99"/>
    <w:rPr>
      <w:i/>
    </w:rPr>
  </w:style>
  <w:style w:type="character" w:customStyle="1" w:styleId="IntenseQuoteChar">
    <w:name w:val="Intense Quote Char"/>
    <w:uiPriority w:val="99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9"/>
    <w:rPr>
      <w:rFonts w:ascii="Arial" w:eastAsia="Times New Roman" w:hAnsi="Arial" w:cs="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Arial" w:eastAsia="Times New Roman" w:hAnsi="Arial" w:cs="Arial"/>
      <w:sz w:val="34"/>
    </w:rPr>
  </w:style>
  <w:style w:type="character" w:customStyle="1" w:styleId="Heading3Char">
    <w:name w:val="Heading 3 Char"/>
    <w:basedOn w:val="a0"/>
    <w:uiPriority w:val="99"/>
    <w:rPr>
      <w:rFonts w:ascii="Arial" w:eastAsia="Times New Roman" w:hAnsi="Arial" w:cs="Arial"/>
      <w:sz w:val="30"/>
      <w:szCs w:val="30"/>
    </w:rPr>
  </w:style>
  <w:style w:type="paragraph" w:customStyle="1" w:styleId="Heading41">
    <w:name w:val="Heading 41"/>
    <w:basedOn w:val="a"/>
    <w:next w:val="a"/>
    <w:link w:val="Heading4Char"/>
    <w:uiPriority w:val="99"/>
    <w:pPr>
      <w:keepNext/>
      <w:keepLines/>
      <w:spacing w:before="320" w:after="200"/>
      <w:outlineLvl w:val="3"/>
    </w:pPr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1"/>
    <w:uiPriority w:val="99"/>
    <w:rPr>
      <w:rFonts w:ascii="Arial" w:eastAsia="Times New Roman" w:hAnsi="Arial" w:cs="Arial"/>
      <w:b/>
      <w:bCs/>
      <w:sz w:val="26"/>
      <w:szCs w:val="26"/>
    </w:rPr>
  </w:style>
  <w:style w:type="paragraph" w:customStyle="1" w:styleId="Heading51">
    <w:name w:val="Heading 51"/>
    <w:basedOn w:val="a"/>
    <w:next w:val="a"/>
    <w:link w:val="Heading5Char"/>
    <w:uiPriority w:val="99"/>
    <w:pPr>
      <w:keepNext/>
      <w:keepLines/>
      <w:spacing w:before="320" w:after="200"/>
      <w:outlineLvl w:val="4"/>
    </w:pPr>
    <w:rPr>
      <w:rFonts w:ascii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1"/>
    <w:uiPriority w:val="99"/>
    <w:rPr>
      <w:rFonts w:ascii="Arial" w:eastAsia="Times New Roman" w:hAnsi="Arial" w:cs="Arial"/>
      <w:b/>
      <w:bCs/>
      <w:sz w:val="24"/>
      <w:szCs w:val="24"/>
    </w:rPr>
  </w:style>
  <w:style w:type="paragraph" w:customStyle="1" w:styleId="Heading61">
    <w:name w:val="Heading 61"/>
    <w:basedOn w:val="a"/>
    <w:next w:val="a"/>
    <w:link w:val="Heading6Char"/>
    <w:uiPriority w:val="99"/>
    <w:pPr>
      <w:keepNext/>
      <w:keepLines/>
      <w:spacing w:before="320" w:after="200"/>
      <w:outlineLvl w:val="5"/>
    </w:pPr>
    <w:rPr>
      <w:rFonts w:ascii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1"/>
    <w:uiPriority w:val="99"/>
    <w:rPr>
      <w:rFonts w:ascii="Arial" w:eastAsia="Times New Roman" w:hAnsi="Arial" w:cs="Arial"/>
      <w:b/>
      <w:bCs/>
      <w:sz w:val="22"/>
      <w:szCs w:val="22"/>
    </w:rPr>
  </w:style>
  <w:style w:type="paragraph" w:customStyle="1" w:styleId="Heading71">
    <w:name w:val="Heading 71"/>
    <w:basedOn w:val="a"/>
    <w:next w:val="a"/>
    <w:link w:val="Heading7Char"/>
    <w:uiPriority w:val="99"/>
    <w:pPr>
      <w:keepNext/>
      <w:keepLines/>
      <w:spacing w:before="320" w:after="200"/>
      <w:outlineLvl w:val="6"/>
    </w:pPr>
    <w:rPr>
      <w:rFonts w:ascii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1"/>
    <w:uiPriority w:val="99"/>
    <w:rPr>
      <w:rFonts w:ascii="Arial" w:eastAsia="Times New Roman" w:hAnsi="Arial" w:cs="Arial"/>
      <w:b/>
      <w:bCs/>
      <w:i/>
      <w:iCs/>
      <w:sz w:val="22"/>
      <w:szCs w:val="22"/>
    </w:rPr>
  </w:style>
  <w:style w:type="paragraph" w:customStyle="1" w:styleId="Heading81">
    <w:name w:val="Heading 81"/>
    <w:basedOn w:val="a"/>
    <w:next w:val="a"/>
    <w:link w:val="Heading8Char"/>
    <w:uiPriority w:val="99"/>
    <w:pPr>
      <w:keepNext/>
      <w:keepLines/>
      <w:spacing w:before="320" w:after="200"/>
      <w:outlineLvl w:val="7"/>
    </w:pPr>
    <w:rPr>
      <w:rFonts w:ascii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1"/>
    <w:uiPriority w:val="99"/>
    <w:rPr>
      <w:rFonts w:ascii="Arial" w:eastAsia="Times New Roman" w:hAnsi="Arial" w:cs="Arial"/>
      <w:i/>
      <w:iCs/>
      <w:sz w:val="22"/>
      <w:szCs w:val="22"/>
    </w:rPr>
  </w:style>
  <w:style w:type="paragraph" w:customStyle="1" w:styleId="Heading91">
    <w:name w:val="Heading 91"/>
    <w:basedOn w:val="a"/>
    <w:next w:val="a"/>
    <w:link w:val="Heading9Char"/>
    <w:uiPriority w:val="99"/>
    <w:pPr>
      <w:keepNext/>
      <w:keepLines/>
      <w:spacing w:before="320" w:after="200"/>
      <w:outlineLvl w:val="8"/>
    </w:pPr>
    <w:rPr>
      <w:rFonts w:ascii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1"/>
    <w:uiPriority w:val="99"/>
    <w:rPr>
      <w:rFonts w:ascii="Arial" w:eastAsia="Times New Roman" w:hAnsi="Arial" w:cs="Arial"/>
      <w:i/>
      <w:iCs/>
      <w:sz w:val="21"/>
      <w:szCs w:val="21"/>
    </w:rPr>
  </w:style>
  <w:style w:type="paragraph" w:styleId="a7">
    <w:name w:val="No Spacing"/>
    <w:uiPriority w:val="99"/>
    <w:qFormat/>
    <w:rPr>
      <w:sz w:val="20"/>
    </w:rPr>
  </w:style>
  <w:style w:type="paragraph" w:styleId="a8">
    <w:name w:val="Title"/>
    <w:basedOn w:val="a"/>
    <w:next w:val="a"/>
    <w:link w:val="a9"/>
    <w:uiPriority w:val="99"/>
    <w:qFormat/>
    <w:pPr>
      <w:spacing w:before="300" w:after="200"/>
      <w:contextualSpacing/>
    </w:pPr>
    <w:rPr>
      <w:sz w:val="48"/>
      <w:szCs w:val="48"/>
    </w:rPr>
  </w:style>
  <w:style w:type="character" w:customStyle="1" w:styleId="a9">
    <w:name w:val="Название Знак"/>
    <w:basedOn w:val="a0"/>
    <w:link w:val="a8"/>
    <w:uiPriority w:val="99"/>
    <w:rPr>
      <w:rFonts w:cs="Times New Roman"/>
      <w:sz w:val="48"/>
      <w:szCs w:val="48"/>
    </w:rPr>
  </w:style>
  <w:style w:type="paragraph" w:styleId="aa">
    <w:name w:val="Subtitle"/>
    <w:basedOn w:val="a"/>
    <w:next w:val="a"/>
    <w:link w:val="ab"/>
    <w:uiPriority w:val="99"/>
    <w:qFormat/>
    <w:pPr>
      <w:spacing w:before="200" w:after="200"/>
    </w:pPr>
    <w:rPr>
      <w:sz w:val="24"/>
      <w:szCs w:val="24"/>
    </w:rPr>
  </w:style>
  <w:style w:type="character" w:customStyle="1" w:styleId="ab">
    <w:name w:val="Подзаголовок Знак"/>
    <w:basedOn w:val="a0"/>
    <w:link w:val="aa"/>
    <w:uiPriority w:val="99"/>
    <w:rPr>
      <w:rFonts w:cs="Times New Roman"/>
      <w:sz w:val="24"/>
      <w:szCs w:val="24"/>
    </w:rPr>
  </w:style>
  <w:style w:type="paragraph" w:styleId="20">
    <w:name w:val="Quote"/>
    <w:basedOn w:val="a"/>
    <w:next w:val="a"/>
    <w:link w:val="22"/>
    <w:uiPriority w:val="99"/>
    <w:qFormat/>
    <w:pPr>
      <w:ind w:left="720" w:right="720"/>
    </w:pPr>
    <w:rPr>
      <w:i/>
    </w:rPr>
  </w:style>
  <w:style w:type="character" w:customStyle="1" w:styleId="22">
    <w:name w:val="Цитата 2 Знак"/>
    <w:basedOn w:val="a0"/>
    <w:link w:val="20"/>
    <w:uiPriority w:val="99"/>
    <w:rPr>
      <w:i/>
    </w:rPr>
  </w:style>
  <w:style w:type="paragraph" w:styleId="ac">
    <w:name w:val="Intense Quote"/>
    <w:basedOn w:val="a"/>
    <w:next w:val="a"/>
    <w:link w:val="ad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basedOn w:val="a0"/>
    <w:link w:val="ac"/>
    <w:uiPriority w:val="99"/>
    <w:rPr>
      <w:i/>
    </w:rPr>
  </w:style>
  <w:style w:type="paragraph" w:customStyle="1" w:styleId="Header1">
    <w:name w:val="Header1"/>
    <w:basedOn w:val="a"/>
    <w:link w:val="HeaderChar"/>
    <w:uiPriority w:val="99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1"/>
    <w:uiPriority w:val="99"/>
    <w:rPr>
      <w:rFonts w:cs="Times New Roman"/>
    </w:rPr>
  </w:style>
  <w:style w:type="paragraph" w:customStyle="1" w:styleId="Footer1">
    <w:name w:val="Footer1"/>
    <w:basedOn w:val="a"/>
    <w:link w:val="CaptionChar"/>
    <w:uiPriority w:val="99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Pr>
      <w:rFonts w:cs="Times New Roman"/>
    </w:rPr>
  </w:style>
  <w:style w:type="paragraph" w:customStyle="1" w:styleId="Caption1">
    <w:name w:val="Caption1"/>
    <w:basedOn w:val="a"/>
    <w:next w:val="a"/>
    <w:uiPriority w:val="99"/>
    <w:semiHidden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1"/>
    <w:uiPriority w:val="99"/>
  </w:style>
  <w:style w:type="table" w:styleId="ae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shd w:val="clear" w:color="FFFFFF" w:fill="FFFFFF"/>
      </w:tcPr>
    </w:tblStylePr>
    <w:tblStylePr w:type="band1Horz">
      <w:rPr>
        <w:rFonts w:cs="Times New Roman"/>
      </w:rPr>
      <w:tblPr/>
      <w:tcPr>
        <w:shd w:val="clear" w:color="FFFFFF" w:fill="FFFFFF"/>
      </w:tcPr>
    </w:tblStylePr>
  </w:style>
  <w:style w:type="table" w:customStyle="1" w:styleId="PlainTable2">
    <w:name w:val="Plain Table 2"/>
    <w:uiPriority w:val="99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rFonts w:cs="Times New Roman"/>
        <w:b/>
        <w:caps/>
        <w:color w:val="404040"/>
      </w:rPr>
    </w:tblStylePr>
    <w:tblStylePr w:type="firstCol">
      <w:rPr>
        <w:rFonts w:cs="Times New Roman"/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rFonts w:cs="Times New Roman"/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band1Vert">
      <w:rPr>
        <w:rFonts w:cs="Times New Roman"/>
      </w:rPr>
      <w:tblPr/>
      <w:tcPr>
        <w:shd w:val="clear" w:color="8A8A8A" w:fill="8A8A8A"/>
      </w:tcPr>
    </w:tblStylePr>
    <w:tblStylePr w:type="band1Horz">
      <w:rPr>
        <w:rFonts w:cs="Times New Roman"/>
      </w:rPr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band1Vert">
      <w:rPr>
        <w:rFonts w:cs="Times New Roman"/>
      </w:rPr>
      <w:tblPr/>
      <w:tcPr>
        <w:shd w:val="clear" w:color="AEC4E0" w:fill="AEC4E0"/>
      </w:tcPr>
    </w:tblStylePr>
    <w:tblStylePr w:type="band1Horz">
      <w:rPr>
        <w:rFonts w:cs="Times New Roman"/>
      </w:rPr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band1Vert">
      <w:rPr>
        <w:rFonts w:cs="Times New Roman"/>
      </w:rPr>
      <w:tblPr/>
      <w:tcPr>
        <w:shd w:val="clear" w:color="E2AEAD" w:fill="E2AEAD"/>
      </w:tcPr>
    </w:tblStylePr>
    <w:tblStylePr w:type="band1Horz">
      <w:rPr>
        <w:rFonts w:cs="Times New Roman"/>
      </w:rPr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band1Vert">
      <w:rPr>
        <w:rFonts w:cs="Times New Roman"/>
      </w:rPr>
      <w:tblPr/>
      <w:tcPr>
        <w:shd w:val="clear" w:color="D0DFB2" w:fill="D0DFB2"/>
      </w:tcPr>
    </w:tblStylePr>
    <w:tblStylePr w:type="band1Horz">
      <w:rPr>
        <w:rFonts w:cs="Times New Roman"/>
      </w:rPr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band1Vert">
      <w:rPr>
        <w:rFonts w:cs="Times New Roman"/>
      </w:rPr>
      <w:tblPr/>
      <w:tcPr>
        <w:shd w:val="clear" w:color="C4B7D4" w:fill="C4B7D4"/>
      </w:tcPr>
    </w:tblStylePr>
    <w:tblStylePr w:type="band1Horz">
      <w:rPr>
        <w:rFonts w:cs="Times New Roman"/>
      </w:rPr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band1Vert">
      <w:rPr>
        <w:rFonts w:cs="Times New Roman"/>
      </w:rPr>
      <w:tblPr/>
      <w:tcPr>
        <w:shd w:val="clear" w:color="ACD8E4" w:fill="ACD8E4"/>
      </w:tcPr>
    </w:tblStylePr>
    <w:tblStylePr w:type="band1Horz">
      <w:rPr>
        <w:rFonts w:cs="Times New Roman"/>
      </w:rPr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band1Vert">
      <w:rPr>
        <w:rFonts w:cs="Times New Roman"/>
      </w:rPr>
      <w:tblPr/>
      <w:tcPr>
        <w:shd w:val="clear" w:color="FBCEAA" w:fill="FBCEAA"/>
      </w:tcPr>
    </w:tblStylePr>
    <w:tblStylePr w:type="band1Horz">
      <w:rPr>
        <w:rFonts w:cs="Times New Roman"/>
      </w:rPr>
      <w:tblPr/>
      <w:tcPr>
        <w:shd w:val="clear" w:color="FBCEAA" w:fill="FBCEAA"/>
      </w:tcPr>
    </w:tblStylePr>
  </w:style>
  <w:style w:type="table" w:customStyle="1" w:styleId="GridTable6Colorful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rFonts w:cs="Times New Roman"/>
        <w:b/>
        <w:color w:val="7F7F7F"/>
      </w:rPr>
    </w:tblStylePr>
    <w:tblStylePr w:type="firstCol">
      <w:rPr>
        <w:rFonts w:cs="Times New Roman"/>
        <w:b/>
        <w:color w:val="7F7F7F"/>
      </w:rPr>
    </w:tblStylePr>
    <w:tblStylePr w:type="lastCol">
      <w:rPr>
        <w:rFonts w:cs="Times New Roman"/>
        <w:b/>
        <w:color w:val="7F7F7F"/>
      </w:rPr>
    </w:tblStylePr>
    <w:tblStylePr w:type="band1Vert">
      <w:rPr>
        <w:rFonts w:cs="Times New Roman"/>
      </w:rPr>
      <w:tblPr/>
      <w:tcPr>
        <w:shd w:val="clear" w:color="CBCBCB" w:fill="CBCBCB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6Colorful-Accent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rFonts w:cs="Times New Roman"/>
        <w:b/>
        <w:color w:val="A6BFDD"/>
      </w:rPr>
    </w:tblStylePr>
    <w:tblStylePr w:type="firstCol">
      <w:rPr>
        <w:rFonts w:cs="Times New Roman"/>
        <w:b/>
        <w:color w:val="A6BFDD"/>
      </w:rPr>
    </w:tblStylePr>
    <w:tblStylePr w:type="lastCol">
      <w:rPr>
        <w:rFonts w:cs="Times New Roman"/>
        <w:b/>
        <w:color w:val="A6BFDD"/>
      </w:r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6Colorful-Accent2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rFonts w:cs="Times New Roman"/>
        <w:b/>
        <w:color w:val="D99695"/>
      </w:r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6Colorful-Accent3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rFonts w:cs="Times New Roman"/>
        <w:b/>
        <w:color w:val="9ABB59"/>
      </w:rPr>
    </w:tblStylePr>
    <w:tblStylePr w:type="firstCol">
      <w:rPr>
        <w:rFonts w:cs="Times New Roman"/>
        <w:b/>
        <w:color w:val="9ABB59"/>
      </w:rPr>
    </w:tblStylePr>
    <w:tblStylePr w:type="lastCol">
      <w:rPr>
        <w:rFonts w:cs="Times New Roman"/>
        <w:b/>
        <w:color w:val="9ABB59"/>
      </w:r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6Colorful-Accent4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rFonts w:cs="Times New Roman"/>
        <w:b/>
        <w:color w:val="B2A1C6"/>
      </w:r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6Colorful-Accent5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6Colorful-Accent6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rFonts w:cs="Times New Roman"/>
        <w:b/>
        <w:color w:val="266779"/>
      </w:rPr>
    </w:tblStylePr>
    <w:tblStylePr w:type="firstCol">
      <w:rPr>
        <w:rFonts w:cs="Times New Roman"/>
        <w:b/>
        <w:color w:val="266779"/>
      </w:rPr>
    </w:tblStylePr>
    <w:tblStylePr w:type="lastCol">
      <w:rPr>
        <w:rFonts w:cs="Times New Roman"/>
        <w:b/>
        <w:color w:val="266779"/>
      </w:r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FFFFFF" w:fill="FFFFF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GridTable7Colorful-Accent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DAE5F1" w:fill="DAE5F1"/>
      </w:tcPr>
    </w:tblStylePr>
    <w:tblStylePr w:type="band1Horz">
      <w:rPr>
        <w:rFonts w:ascii="Arial" w:hAnsi="Arial" w:cs="Times New Roman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 w:cs="Times New Roman"/>
        <w:color w:val="A6BFDD"/>
        <w:sz w:val="22"/>
      </w:rPr>
    </w:tblStylePr>
  </w:style>
  <w:style w:type="table" w:customStyle="1" w:styleId="GridTable7Colorful-Accent2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GridTable7Colorful-Accent3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 w:cs="Times New Roman"/>
        <w:color w:val="9ABB59"/>
        <w:sz w:val="22"/>
      </w:rPr>
    </w:tblStylePr>
  </w:style>
  <w:style w:type="table" w:customStyle="1" w:styleId="GridTable7Colorful-Accent4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GridTable7Colorful-Accent5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 w:cs="Times New Roman"/>
        <w:color w:val="266779"/>
        <w:sz w:val="22"/>
      </w:rPr>
    </w:tblStylePr>
  </w:style>
  <w:style w:type="table" w:customStyle="1" w:styleId="GridTable7Colorful-Accent6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 w:cs="Times New Roman"/>
        <w:color w:val="B15407"/>
        <w:sz w:val="22"/>
      </w:rPr>
    </w:tblStylePr>
  </w:style>
  <w:style w:type="table" w:customStyle="1" w:styleId="ListTable1Light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cs="Times New Roman"/>
      </w:rPr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cs="Times New Roman"/>
      </w:rPr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cs="Times New Roman"/>
      </w:rPr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cs="Times New Roman"/>
      </w:rPr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cs="Times New Roman"/>
      </w:rPr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cs="Times New Roman"/>
      </w:rPr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rFonts w:cs="Times New Roman"/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cs="Times New Roman"/>
      </w:rPr>
      <w:tblPr/>
      <w:tcPr>
        <w:shd w:val="clear" w:color="FDE4D0" w:fill="FDE4D0"/>
      </w:tcPr>
    </w:tblStylePr>
  </w:style>
  <w:style w:type="table" w:customStyle="1" w:styleId="ListTable2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 w:cs="Times New Roman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cs="Times New Roman"/>
        <w:b/>
        <w:color w:val="404040"/>
      </w:rPr>
    </w:tblStylePr>
    <w:tblStylePr w:type="firstCol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band1Vert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 w:cs="Times New Roman"/>
        <w:b/>
        <w:color w:val="FFFFFF"/>
        <w:sz w:val="22"/>
      </w:rPr>
    </w:tblStylePr>
    <w:tblStylePr w:type="firstCol">
      <w:rPr>
        <w:rFonts w:ascii="Arial" w:hAnsi="Arial" w:cs="Times New Roman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rPr>
        <w:rFonts w:cs="Times New Roman"/>
      </w:rPr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rPr>
        <w:rFonts w:cs="Times New Roman"/>
      </w:rPr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rPr>
        <w:rFonts w:cs="Times New Roman"/>
      </w:rPr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color w:val="000000"/>
      </w:rPr>
    </w:tblStylePr>
    <w:tblStylePr w:type="lastCol">
      <w:rPr>
        <w:rFonts w:cs="Times New Roman"/>
        <w:b/>
        <w:color w:val="000000"/>
      </w:r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</w:style>
  <w:style w:type="table" w:customStyle="1" w:styleId="ListTable6Colorful-Accent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rFonts w:cs="Times New Roman"/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rFonts w:cs="Times New Roman"/>
        <w:b/>
        <w:color w:val="2A4A71"/>
      </w:rPr>
    </w:tblStylePr>
    <w:tblStylePr w:type="lastCol">
      <w:rPr>
        <w:rFonts w:cs="Times New Roman"/>
        <w:b/>
        <w:color w:val="2A4A71"/>
      </w:r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6Colorful-Accent2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rFonts w:cs="Times New Roman"/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rFonts w:cs="Times New Roman"/>
        <w:b/>
        <w:color w:val="D99695"/>
      </w:rPr>
    </w:tblStylePr>
    <w:tblStylePr w:type="lastCol">
      <w:rPr>
        <w:rFonts w:cs="Times New Roman"/>
        <w:b/>
        <w:color w:val="D99695"/>
      </w:r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6Colorful-Accent3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rFonts w:cs="Times New Roman"/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rFonts w:cs="Times New Roman"/>
        <w:b/>
        <w:color w:val="C3D69B"/>
      </w:rPr>
    </w:tblStylePr>
    <w:tblStylePr w:type="lastCol">
      <w:rPr>
        <w:rFonts w:cs="Times New Roman"/>
        <w:b/>
        <w:color w:val="C3D69B"/>
      </w:r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6Colorful-Accent4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rFonts w:cs="Times New Roman"/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rFonts w:cs="Times New Roman"/>
        <w:b/>
        <w:color w:val="B2A1C6"/>
      </w:rPr>
    </w:tblStylePr>
    <w:tblStylePr w:type="lastCol">
      <w:rPr>
        <w:rFonts w:cs="Times New Roman"/>
        <w:b/>
        <w:color w:val="B2A1C6"/>
      </w:r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6Colorful-Accent5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rFonts w:cs="Times New Roman"/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rFonts w:cs="Times New Roman"/>
        <w:b/>
        <w:color w:val="92CCDC"/>
      </w:rPr>
    </w:tblStylePr>
    <w:tblStylePr w:type="lastCol">
      <w:rPr>
        <w:rFonts w:cs="Times New Roman"/>
        <w:b/>
        <w:color w:val="92CCDC"/>
      </w:r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6Colorful-Accent6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rFonts w:cs="Times New Roman"/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rFonts w:cs="Times New Roman"/>
        <w:b/>
        <w:color w:val="FAC090"/>
      </w:rPr>
    </w:tblStylePr>
    <w:tblStylePr w:type="lastCol">
      <w:rPr>
        <w:rFonts w:cs="Times New Roman"/>
        <w:b/>
        <w:color w:val="FAC090"/>
      </w:r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stTable7Colorful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BFBFBF" w:fill="BFBFBF"/>
      </w:tcPr>
    </w:tblStylePr>
    <w:tblStylePr w:type="band1Horz">
      <w:rPr>
        <w:rFonts w:ascii="Arial" w:hAnsi="Arial" w:cs="Times New Roman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</w:style>
  <w:style w:type="table" w:customStyle="1" w:styleId="ListTable7Colorful-Accent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D2DFEE" w:fill="D2DFEE"/>
      </w:tcPr>
    </w:tblStylePr>
    <w:tblStylePr w:type="band1Horz">
      <w:rPr>
        <w:rFonts w:ascii="Arial" w:hAnsi="Arial" w:cs="Times New Roman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 w:cs="Times New Roman"/>
        <w:color w:val="2A4A71"/>
        <w:sz w:val="22"/>
      </w:rPr>
    </w:tblStylePr>
  </w:style>
  <w:style w:type="table" w:customStyle="1" w:styleId="ListTable7Colorful-Accent2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EFD2D2" w:fill="EFD2D2"/>
      </w:tcPr>
    </w:tblStylePr>
    <w:tblStylePr w:type="band1Horz">
      <w:rPr>
        <w:rFonts w:ascii="Arial" w:hAnsi="Arial" w:cs="Times New Roman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 w:cs="Times New Roman"/>
        <w:color w:val="D99695"/>
        <w:sz w:val="22"/>
      </w:rPr>
    </w:tblStylePr>
  </w:style>
  <w:style w:type="table" w:customStyle="1" w:styleId="ListTable7Colorful-Accent3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E5EED5" w:fill="E5EED5"/>
      </w:tcPr>
    </w:tblStylePr>
    <w:tblStylePr w:type="band1Horz">
      <w:rPr>
        <w:rFonts w:ascii="Arial" w:hAnsi="Arial" w:cs="Times New Roman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 w:cs="Times New Roman"/>
        <w:color w:val="C3D69B"/>
        <w:sz w:val="22"/>
      </w:rPr>
    </w:tblStylePr>
  </w:style>
  <w:style w:type="table" w:customStyle="1" w:styleId="ListTable7Colorful-Accent4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DFD8E7" w:fill="DFD8E7"/>
      </w:tcPr>
    </w:tblStylePr>
    <w:tblStylePr w:type="band1Horz">
      <w:rPr>
        <w:rFonts w:ascii="Arial" w:hAnsi="Arial" w:cs="Times New Roman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 w:cs="Times New Roman"/>
        <w:color w:val="B2A1C6"/>
        <w:sz w:val="22"/>
      </w:rPr>
    </w:tblStylePr>
  </w:style>
  <w:style w:type="table" w:customStyle="1" w:styleId="ListTable7Colorful-Accent5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D1EAF0" w:fill="D1EAF0"/>
      </w:tcPr>
    </w:tblStylePr>
    <w:tblStylePr w:type="band1Horz">
      <w:rPr>
        <w:rFonts w:ascii="Arial" w:hAnsi="Arial" w:cs="Times New Roman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 w:cs="Times New Roman"/>
        <w:color w:val="92CCDC"/>
        <w:sz w:val="22"/>
      </w:rPr>
    </w:tblStylePr>
  </w:style>
  <w:style w:type="table" w:customStyle="1" w:styleId="ListTable7Colorful-Accent6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 w:cs="Times New Roman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FFFFFF"/>
      </w:tcPr>
    </w:tblStylePr>
    <w:tblStylePr w:type="lastCol">
      <w:rPr>
        <w:rFonts w:ascii="Arial" w:hAnsi="Arial" w:cs="Times New Roman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rPr>
        <w:rFonts w:cs="Times New Roman"/>
      </w:rPr>
      <w:tblPr/>
      <w:tcPr>
        <w:shd w:val="clear" w:color="FDE4D0" w:fill="FDE4D0"/>
      </w:tcPr>
    </w:tblStylePr>
    <w:tblStylePr w:type="band1Horz">
      <w:rPr>
        <w:rFonts w:ascii="Arial" w:hAnsi="Arial" w:cs="Times New Roman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 w:cs="Times New Roman"/>
        <w:color w:val="FAC090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 w:cs="Times New Roman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 w:cs="Times New Roman"/>
        <w:color w:val="404040"/>
        <w:sz w:val="22"/>
      </w:rPr>
    </w:tblStylePr>
    <w:tblStylePr w:type="band2Vert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 w:cs="Times New Roman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 w:cs="Times New Roman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lastCol">
      <w:rPr>
        <w:rFonts w:ascii="Arial" w:hAnsi="Arial" w:cs="Times New Roman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 w:cs="Times New Roman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af">
    <w:name w:val="Hyperlink"/>
    <w:basedOn w:val="a0"/>
    <w:uiPriority w:val="99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uiPriority w:val="99"/>
    <w:semiHidden/>
    <w:pPr>
      <w:spacing w:after="40"/>
    </w:pPr>
    <w:rPr>
      <w:sz w:val="18"/>
    </w:rPr>
  </w:style>
  <w:style w:type="character" w:customStyle="1" w:styleId="af1">
    <w:name w:val="Текст сноски Знак"/>
    <w:basedOn w:val="a0"/>
    <w:link w:val="af0"/>
    <w:uiPriority w:val="99"/>
    <w:rPr>
      <w:sz w:val="18"/>
    </w:rPr>
  </w:style>
  <w:style w:type="character" w:styleId="af2">
    <w:name w:val="footnote reference"/>
    <w:basedOn w:val="a0"/>
    <w:uiPriority w:val="99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pPr>
      <w:spacing w:after="57"/>
    </w:pPr>
  </w:style>
  <w:style w:type="paragraph" w:styleId="23">
    <w:name w:val="toc 2"/>
    <w:basedOn w:val="a"/>
    <w:next w:val="a"/>
    <w:uiPriority w:val="99"/>
    <w:pPr>
      <w:spacing w:after="57"/>
      <w:ind w:left="283"/>
    </w:pPr>
  </w:style>
  <w:style w:type="paragraph" w:styleId="3">
    <w:name w:val="toc 3"/>
    <w:basedOn w:val="a"/>
    <w:next w:val="a"/>
    <w:uiPriority w:val="99"/>
    <w:pPr>
      <w:spacing w:after="57"/>
      <w:ind w:left="567"/>
    </w:pPr>
  </w:style>
  <w:style w:type="paragraph" w:styleId="4">
    <w:name w:val="toc 4"/>
    <w:basedOn w:val="a"/>
    <w:next w:val="a"/>
    <w:uiPriority w:val="99"/>
    <w:pPr>
      <w:spacing w:after="57"/>
      <w:ind w:left="850"/>
    </w:pPr>
  </w:style>
  <w:style w:type="paragraph" w:styleId="5">
    <w:name w:val="toc 5"/>
    <w:basedOn w:val="a"/>
    <w:next w:val="a"/>
    <w:uiPriority w:val="99"/>
    <w:pPr>
      <w:spacing w:after="57"/>
      <w:ind w:left="1134"/>
    </w:pPr>
  </w:style>
  <w:style w:type="paragraph" w:styleId="6">
    <w:name w:val="toc 6"/>
    <w:basedOn w:val="a"/>
    <w:next w:val="a"/>
    <w:uiPriority w:val="99"/>
    <w:pPr>
      <w:spacing w:after="57"/>
      <w:ind w:left="1417"/>
    </w:pPr>
  </w:style>
  <w:style w:type="paragraph" w:styleId="70">
    <w:name w:val="toc 7"/>
    <w:basedOn w:val="a"/>
    <w:next w:val="a"/>
    <w:uiPriority w:val="99"/>
    <w:pPr>
      <w:spacing w:after="57"/>
      <w:ind w:left="1701"/>
    </w:pPr>
  </w:style>
  <w:style w:type="paragraph" w:styleId="8">
    <w:name w:val="toc 8"/>
    <w:basedOn w:val="a"/>
    <w:next w:val="a"/>
    <w:uiPriority w:val="99"/>
    <w:pPr>
      <w:spacing w:after="57"/>
      <w:ind w:left="1984"/>
    </w:pPr>
  </w:style>
  <w:style w:type="paragraph" w:styleId="9">
    <w:name w:val="toc 9"/>
    <w:basedOn w:val="a"/>
    <w:next w:val="a"/>
    <w:uiPriority w:val="99"/>
    <w:pPr>
      <w:spacing w:after="57"/>
      <w:ind w:left="2268"/>
    </w:pPr>
  </w:style>
  <w:style w:type="character" w:customStyle="1" w:styleId="Heading1Char1">
    <w:name w:val="Heading 1 Char1"/>
    <w:basedOn w:val="a0"/>
    <w:link w:val="110"/>
    <w:uiPriority w:val="9"/>
    <w:rPr>
      <w:rFonts w:ascii="Cambria" w:eastAsia="Cambria" w:hAnsi="Cambria" w:cs="Cambria"/>
      <w:b/>
      <w:bCs/>
      <w:sz w:val="32"/>
      <w:szCs w:val="32"/>
      <w:lang w:eastAsia="en-US"/>
    </w:rPr>
  </w:style>
  <w:style w:type="paragraph" w:styleId="af3">
    <w:name w:val="TOC Heading"/>
    <w:basedOn w:val="110"/>
    <w:uiPriority w:val="99"/>
    <w:qFormat/>
    <w:pPr>
      <w:keepNext w:val="0"/>
      <w:spacing w:before="0" w:after="0"/>
      <w:outlineLvl w:val="9"/>
    </w:pPr>
    <w:rPr>
      <w:rFonts w:ascii="Times New Roman" w:eastAsia="Times New Roman" w:hAnsi="Times New Roman" w:cs="Times New Roman"/>
      <w:b w:val="0"/>
      <w:bCs w:val="0"/>
      <w:sz w:val="20"/>
      <w:szCs w:val="22"/>
    </w:rPr>
  </w:style>
  <w:style w:type="paragraph" w:customStyle="1" w:styleId="Heading11">
    <w:name w:val="Heading 11"/>
    <w:basedOn w:val="a"/>
    <w:next w:val="a"/>
    <w:link w:val="13"/>
    <w:uiPriority w:val="99"/>
    <w:pPr>
      <w:keepNext/>
      <w:outlineLvl w:val="0"/>
    </w:pPr>
    <w:rPr>
      <w:sz w:val="28"/>
      <w:szCs w:val="28"/>
    </w:rPr>
  </w:style>
  <w:style w:type="paragraph" w:customStyle="1" w:styleId="Heading21">
    <w:name w:val="Heading 21"/>
    <w:basedOn w:val="a"/>
    <w:next w:val="a"/>
    <w:link w:val="24"/>
    <w:uiPriority w:val="99"/>
    <w:pPr>
      <w:keepNext/>
      <w:ind w:left="2160" w:firstLine="250"/>
      <w:outlineLvl w:val="1"/>
    </w:pPr>
    <w:rPr>
      <w:b/>
      <w:bCs/>
      <w:sz w:val="28"/>
      <w:szCs w:val="28"/>
    </w:rPr>
  </w:style>
  <w:style w:type="paragraph" w:customStyle="1" w:styleId="Heading31">
    <w:name w:val="Heading 31"/>
    <w:basedOn w:val="a"/>
    <w:next w:val="a"/>
    <w:link w:val="30"/>
    <w:uiPriority w:val="99"/>
    <w:pPr>
      <w:keepNext/>
      <w:jc w:val="center"/>
      <w:outlineLvl w:val="2"/>
    </w:pPr>
    <w:rPr>
      <w:b/>
      <w:bCs/>
      <w:sz w:val="32"/>
      <w:szCs w:val="32"/>
    </w:rPr>
  </w:style>
  <w:style w:type="character" w:customStyle="1" w:styleId="13">
    <w:name w:val="Заголовок 1 Знак"/>
    <w:link w:val="Heading11"/>
    <w:uiPriority w:val="99"/>
    <w:rPr>
      <w:sz w:val="28"/>
    </w:rPr>
  </w:style>
  <w:style w:type="character" w:customStyle="1" w:styleId="24">
    <w:name w:val="Заголовок 2 Знак"/>
    <w:link w:val="Heading21"/>
    <w:uiPriority w:val="99"/>
    <w:rPr>
      <w:b/>
      <w:sz w:val="28"/>
    </w:rPr>
  </w:style>
  <w:style w:type="character" w:customStyle="1" w:styleId="30">
    <w:name w:val="Заголовок 3 Знак"/>
    <w:link w:val="Heading31"/>
    <w:uiPriority w:val="99"/>
    <w:rPr>
      <w:b/>
      <w:sz w:val="32"/>
    </w:rPr>
  </w:style>
  <w:style w:type="paragraph" w:styleId="af4">
    <w:name w:val="List Paragraph"/>
    <w:basedOn w:val="a"/>
    <w:uiPriority w:val="99"/>
    <w:qFormat/>
    <w:pPr>
      <w:ind w:left="720"/>
    </w:pPr>
  </w:style>
  <w:style w:type="paragraph" w:styleId="af5">
    <w:name w:val="Body Text"/>
    <w:basedOn w:val="a"/>
    <w:link w:val="af6"/>
    <w:uiPriority w:val="99"/>
    <w:pPr>
      <w:jc w:val="both"/>
    </w:pPr>
    <w:rPr>
      <w:sz w:val="28"/>
      <w:lang w:val="en-US"/>
    </w:rPr>
  </w:style>
  <w:style w:type="character" w:customStyle="1" w:styleId="af6">
    <w:name w:val="Основной текст Знак"/>
    <w:basedOn w:val="a0"/>
    <w:link w:val="af5"/>
    <w:uiPriority w:val="99"/>
    <w:rPr>
      <w:rFonts w:cs="Times New Roman"/>
      <w:sz w:val="22"/>
      <w:szCs w:val="22"/>
      <w:shd w:val="clear" w:color="auto" w:fill="auto"/>
      <w:lang w:val="en-US" w:eastAsia="en-US"/>
    </w:rPr>
  </w:style>
  <w:style w:type="paragraph" w:customStyle="1" w:styleId="juscontext">
    <w:name w:val="juscontext"/>
    <w:basedOn w:val="a"/>
    <w:uiPriority w:val="99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Pr>
      <w:sz w:val="28"/>
      <w:szCs w:val="28"/>
    </w:rPr>
  </w:style>
  <w:style w:type="paragraph" w:styleId="af7">
    <w:name w:val="Balloon Text"/>
    <w:basedOn w:val="a"/>
    <w:link w:val="af8"/>
    <w:uiPriority w:val="99"/>
    <w:semiHidden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  <w:shd w:val="clear" w:color="auto" w:fill="auto"/>
      <w:lang w:eastAsia="en-US"/>
    </w:rPr>
  </w:style>
  <w:style w:type="character" w:styleId="af9">
    <w:name w:val="annotation reference"/>
    <w:basedOn w:val="a0"/>
    <w:uiPriority w:val="99"/>
    <w:semiHidden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</w:style>
  <w:style w:type="character" w:customStyle="1" w:styleId="afb">
    <w:name w:val="Текст примечания Знак"/>
    <w:basedOn w:val="a0"/>
    <w:link w:val="afa"/>
    <w:uiPriority w:val="99"/>
    <w:semiHidden/>
    <w:rPr>
      <w:rFonts w:cs="Times New Roman"/>
      <w:shd w:val="clear" w:color="auto" w:fill="auto"/>
      <w:lang w:eastAsia="en-US"/>
    </w:rPr>
  </w:style>
  <w:style w:type="paragraph" w:styleId="afc">
    <w:name w:val="annotation subject"/>
    <w:basedOn w:val="afa"/>
    <w:next w:val="afa"/>
    <w:link w:val="afd"/>
    <w:uiPriority w:val="99"/>
    <w:semiHidden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cs="Times New Roman"/>
      <w:b/>
      <w:bCs/>
      <w:shd w:val="clear" w:color="auto" w:fill="auto"/>
      <w:lang w:eastAsia="en-US"/>
    </w:rPr>
  </w:style>
  <w:style w:type="character" w:customStyle="1" w:styleId="FontStyle11">
    <w:name w:val="Font Style11"/>
    <w:rPr>
      <w:rFonts w:ascii="Times New Roman" w:hAnsi="Times New Roman"/>
      <w:sz w:val="26"/>
      <w:szCs w:val="26"/>
    </w:rPr>
  </w:style>
  <w:style w:type="paragraph" w:customStyle="1" w:styleId="afe">
    <w:name w:val="Знак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sz w:val="28"/>
      <w:szCs w:val="28"/>
      <w:lang w:val="en-US" w:eastAsia="en-US"/>
    </w:rPr>
  </w:style>
  <w:style w:type="paragraph" w:customStyle="1" w:styleId="Style4">
    <w:name w:val="Style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22" w:lineRule="exact"/>
    </w:pPr>
    <w:rPr>
      <w:sz w:val="24"/>
      <w:szCs w:val="24"/>
      <w:lang w:bidi="en-US"/>
    </w:rPr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hAnsi="Calibri"/>
      <w:b/>
      <w:bCs/>
    </w:rPr>
  </w:style>
  <w:style w:type="paragraph" w:styleId="aff">
    <w:name w:val="heade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99AF84EF959FA3B3A71381E905DEDA4CE7D5F5C543F4CC080218A510A7620C18B1C167A7B9BB3471A875C7CP2C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2991</Words>
  <Characters>17053</Characters>
  <Application>Microsoft Office Word</Application>
  <DocSecurity>0</DocSecurity>
  <Lines>142</Lines>
  <Paragraphs>40</Paragraphs>
  <ScaleCrop>false</ScaleCrop>
  <Company/>
  <LinksUpToDate>false</LinksUpToDate>
  <CharactersWithSpaces>20004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AVNilova</dc:creator>
  <cp:keywords/>
  <dc:description/>
  <cp:lastModifiedBy>Мигалева Алевтина Игоревна</cp:lastModifiedBy>
  <cp:revision>42</cp:revision>
  <dcterms:created xsi:type="dcterms:W3CDTF">2020-11-12T08:48:00Z</dcterms:created>
  <dcterms:modified xsi:type="dcterms:W3CDTF">2022-05-06T08:29:00Z</dcterms:modified>
</cp:coreProperties>
</file>